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1F3" w:rsidRDefault="00B021F3" w:rsidP="009D479B">
      <w:pPr>
        <w:jc w:val="center"/>
        <w:rPr>
          <w:b/>
          <w:sz w:val="28"/>
          <w:szCs w:val="28"/>
        </w:rPr>
      </w:pPr>
    </w:p>
    <w:p w:rsidR="00FA62BD" w:rsidRPr="007C1BA7" w:rsidRDefault="007C1BA7" w:rsidP="00986C28">
      <w:pPr>
        <w:rPr>
          <w:b/>
          <w:sz w:val="28"/>
          <w:szCs w:val="28"/>
        </w:rPr>
      </w:pPr>
      <w:r>
        <w:rPr>
          <w:b/>
          <w:sz w:val="28"/>
          <w:szCs w:val="28"/>
        </w:rPr>
        <w:t>THE</w:t>
      </w:r>
      <w:r w:rsidR="009D479B" w:rsidRPr="007C1BA7">
        <w:rPr>
          <w:b/>
          <w:sz w:val="28"/>
          <w:szCs w:val="28"/>
        </w:rPr>
        <w:t xml:space="preserve"> LOYOLA ART HIST</w:t>
      </w:r>
      <w:r w:rsidR="00DE5858">
        <w:rPr>
          <w:b/>
          <w:sz w:val="28"/>
          <w:szCs w:val="28"/>
        </w:rPr>
        <w:t>ORY PROGRAM SOURCE CITATION</w:t>
      </w:r>
      <w:r w:rsidR="00A36D0C" w:rsidRPr="007C1BA7">
        <w:rPr>
          <w:b/>
          <w:sz w:val="28"/>
          <w:szCs w:val="28"/>
        </w:rPr>
        <w:t xml:space="preserve"> GUIDE</w:t>
      </w:r>
    </w:p>
    <w:p w:rsidR="009D479B" w:rsidRDefault="009D479B" w:rsidP="009D479B">
      <w:pPr>
        <w:jc w:val="center"/>
        <w:rPr>
          <w:b/>
        </w:rPr>
      </w:pPr>
    </w:p>
    <w:p w:rsidR="00B20BEC" w:rsidRDefault="009D479B" w:rsidP="009D479B">
      <w:pPr>
        <w:rPr>
          <w:b/>
        </w:rPr>
      </w:pPr>
      <w:r>
        <w:rPr>
          <w:b/>
        </w:rPr>
        <w:t>The Loyola Art History Program (hereafter “the Loyol</w:t>
      </w:r>
      <w:r w:rsidR="00083898">
        <w:rPr>
          <w:b/>
        </w:rPr>
        <w:t>a AHP”) requires students</w:t>
      </w:r>
      <w:r>
        <w:rPr>
          <w:b/>
        </w:rPr>
        <w:t xml:space="preserve"> to document sources based on </w:t>
      </w:r>
      <w:r w:rsidRPr="009D479B">
        <w:rPr>
          <w:b/>
          <w:i/>
        </w:rPr>
        <w:t>The Chicago Manual</w:t>
      </w:r>
      <w:r>
        <w:rPr>
          <w:b/>
        </w:rPr>
        <w:t xml:space="preserve"> </w:t>
      </w:r>
      <w:r w:rsidRPr="009D479B">
        <w:rPr>
          <w:b/>
          <w:i/>
        </w:rPr>
        <w:t>Style</w:t>
      </w:r>
      <w:r>
        <w:rPr>
          <w:b/>
        </w:rPr>
        <w:t>, 15</w:t>
      </w:r>
      <w:r w:rsidRPr="009D479B">
        <w:rPr>
          <w:b/>
          <w:vertAlign w:val="superscript"/>
        </w:rPr>
        <w:t>th</w:t>
      </w:r>
      <w:r>
        <w:rPr>
          <w:b/>
        </w:rPr>
        <w:t xml:space="preserve"> edition.</w:t>
      </w:r>
      <w:r w:rsidR="00F57B9F">
        <w:rPr>
          <w:rStyle w:val="FootnoteReference"/>
          <w:b/>
        </w:rPr>
        <w:footnoteReference w:id="1"/>
      </w:r>
      <w:r w:rsidR="00853F90">
        <w:rPr>
          <w:b/>
        </w:rPr>
        <w:t xml:space="preserve">  This </w:t>
      </w:r>
      <w:r w:rsidR="00E86920">
        <w:rPr>
          <w:b/>
        </w:rPr>
        <w:t xml:space="preserve">practice is </w:t>
      </w:r>
      <w:r>
        <w:rPr>
          <w:b/>
        </w:rPr>
        <w:t xml:space="preserve">widely referred to as </w:t>
      </w:r>
      <w:r w:rsidR="00B20BEC">
        <w:rPr>
          <w:b/>
        </w:rPr>
        <w:t>“</w:t>
      </w:r>
      <w:r>
        <w:rPr>
          <w:b/>
        </w:rPr>
        <w:t>CMS-style</w:t>
      </w:r>
      <w:r w:rsidR="00B20BEC">
        <w:rPr>
          <w:b/>
        </w:rPr>
        <w:t>”</w:t>
      </w:r>
      <w:r>
        <w:rPr>
          <w:b/>
        </w:rPr>
        <w:t xml:space="preserve"> or </w:t>
      </w:r>
      <w:r w:rsidR="00B20BEC">
        <w:rPr>
          <w:b/>
        </w:rPr>
        <w:t>“</w:t>
      </w:r>
      <w:smartTag w:uri="urn:schemas-microsoft-com:office:smarttags" w:element="place">
        <w:smartTag w:uri="urn:schemas-microsoft-com:office:smarttags" w:element="City">
          <w:r>
            <w:rPr>
              <w:b/>
            </w:rPr>
            <w:t>Chicago</w:t>
          </w:r>
        </w:smartTag>
      </w:smartTag>
      <w:r>
        <w:rPr>
          <w:b/>
        </w:rPr>
        <w:t>.</w:t>
      </w:r>
      <w:r w:rsidR="00B20BEC">
        <w:rPr>
          <w:b/>
        </w:rPr>
        <w:t>”</w:t>
      </w:r>
      <w:r>
        <w:rPr>
          <w:b/>
        </w:rPr>
        <w:t xml:space="preserve">  All research papers must includ</w:t>
      </w:r>
      <w:r w:rsidR="00E86920">
        <w:rPr>
          <w:b/>
        </w:rPr>
        <w:t xml:space="preserve">e a bibliography and footnotes; </w:t>
      </w:r>
      <w:r>
        <w:rPr>
          <w:b/>
        </w:rPr>
        <w:t xml:space="preserve">parenthetical citations </w:t>
      </w:r>
      <w:r w:rsidR="00B01D84">
        <w:rPr>
          <w:b/>
        </w:rPr>
        <w:t xml:space="preserve">and endnotes </w:t>
      </w:r>
      <w:r w:rsidR="00E86920">
        <w:rPr>
          <w:b/>
        </w:rPr>
        <w:t>are not permitted</w:t>
      </w:r>
      <w:r>
        <w:rPr>
          <w:b/>
        </w:rPr>
        <w:t>.</w:t>
      </w:r>
      <w:r w:rsidR="00B20BEC">
        <w:rPr>
          <w:b/>
        </w:rPr>
        <w:t xml:space="preserve">  The Loyola AHP furthermore requires students to use the </w:t>
      </w:r>
      <w:smartTag w:uri="urn:schemas-microsoft-com:office:smarttags" w:element="City">
        <w:r w:rsidR="00B20BEC">
          <w:rPr>
            <w:b/>
          </w:rPr>
          <w:t>Chicago</w:t>
        </w:r>
      </w:smartTag>
      <w:r w:rsidR="00B20BEC">
        <w:rPr>
          <w:b/>
        </w:rPr>
        <w:t xml:space="preserve"> </w:t>
      </w:r>
      <w:r w:rsidR="00B20BEC" w:rsidRPr="00B20BEC">
        <w:rPr>
          <w:b/>
          <w:i/>
        </w:rPr>
        <w:t>notes-bibliography style</w:t>
      </w:r>
      <w:r w:rsidR="00B20BEC">
        <w:rPr>
          <w:b/>
        </w:rPr>
        <w:t xml:space="preserve"> (with notes identified by N and bibliography entries identified by B) as opposed to the </w:t>
      </w:r>
      <w:smartTag w:uri="urn:schemas-microsoft-com:office:smarttags" w:element="place">
        <w:smartTag w:uri="urn:schemas-microsoft-com:office:smarttags" w:element="City">
          <w:r w:rsidR="00B20BEC">
            <w:rPr>
              <w:b/>
            </w:rPr>
            <w:t>Chicago</w:t>
          </w:r>
        </w:smartTag>
      </w:smartTag>
      <w:r w:rsidR="00B20BEC">
        <w:rPr>
          <w:b/>
        </w:rPr>
        <w:t xml:space="preserve"> </w:t>
      </w:r>
      <w:r w:rsidR="00B20BEC" w:rsidRPr="00B20BEC">
        <w:rPr>
          <w:b/>
          <w:i/>
        </w:rPr>
        <w:t>parenthetical citations-reference list</w:t>
      </w:r>
      <w:r w:rsidR="00B20BEC">
        <w:rPr>
          <w:b/>
        </w:rPr>
        <w:t xml:space="preserve"> </w:t>
      </w:r>
      <w:r w:rsidR="00B20BEC" w:rsidRPr="00B20BEC">
        <w:rPr>
          <w:b/>
          <w:i/>
        </w:rPr>
        <w:t>style/author-date style</w:t>
      </w:r>
      <w:r w:rsidR="00B20BEC">
        <w:rPr>
          <w:b/>
        </w:rPr>
        <w:t xml:space="preserve"> (with parenthetical citations identified with a P and reference list entries identified with an R).</w:t>
      </w:r>
      <w:r w:rsidR="00F57B9F">
        <w:rPr>
          <w:b/>
        </w:rPr>
        <w:t xml:space="preserve">  </w:t>
      </w:r>
    </w:p>
    <w:p w:rsidR="00B20BEC" w:rsidRDefault="00B20BEC" w:rsidP="009D479B">
      <w:pPr>
        <w:rPr>
          <w:b/>
        </w:rPr>
      </w:pPr>
    </w:p>
    <w:p w:rsidR="009D479B" w:rsidRDefault="009D479B" w:rsidP="009D479B">
      <w:pPr>
        <w:rPr>
          <w:b/>
        </w:rPr>
      </w:pPr>
      <w:r>
        <w:rPr>
          <w:b/>
        </w:rPr>
        <w:t xml:space="preserve">Art history majors and minors are encouraged to own and make frequent use of Kate L. </w:t>
      </w:r>
      <w:proofErr w:type="spellStart"/>
      <w:r>
        <w:rPr>
          <w:b/>
        </w:rPr>
        <w:t>Turabian</w:t>
      </w:r>
      <w:proofErr w:type="spellEnd"/>
      <w:r>
        <w:rPr>
          <w:b/>
        </w:rPr>
        <w:t xml:space="preserve">, </w:t>
      </w:r>
      <w:r w:rsidRPr="009D479B">
        <w:rPr>
          <w:b/>
          <w:i/>
        </w:rPr>
        <w:t>A Manual for Writers of Research Papers, Theses, and Dissertations: Chicago Style for Students and Researchers</w:t>
      </w:r>
      <w:r>
        <w:rPr>
          <w:b/>
        </w:rPr>
        <w:t>, 7</w:t>
      </w:r>
      <w:r w:rsidRPr="009D479B">
        <w:rPr>
          <w:b/>
          <w:vertAlign w:val="superscript"/>
        </w:rPr>
        <w:t>th</w:t>
      </w:r>
      <w:r>
        <w:rPr>
          <w:b/>
        </w:rPr>
        <w:t xml:space="preserve"> edition.</w:t>
      </w:r>
      <w:r w:rsidR="0018676A">
        <w:rPr>
          <w:rStyle w:val="FootnoteReference"/>
          <w:b/>
        </w:rPr>
        <w:footnoteReference w:id="2"/>
      </w:r>
      <w:r>
        <w:rPr>
          <w:b/>
        </w:rPr>
        <w:t xml:space="preserve">  This book is widely referred to as </w:t>
      </w:r>
      <w:r w:rsidR="00B20BEC">
        <w:rPr>
          <w:b/>
        </w:rPr>
        <w:t>“</w:t>
      </w:r>
      <w:proofErr w:type="spellStart"/>
      <w:r w:rsidR="00AA1580">
        <w:rPr>
          <w:b/>
        </w:rPr>
        <w:t>Turabian</w:t>
      </w:r>
      <w:proofErr w:type="spellEnd"/>
      <w:r w:rsidR="00AA1580">
        <w:rPr>
          <w:b/>
        </w:rPr>
        <w:t>.</w:t>
      </w:r>
      <w:r w:rsidR="00B20BEC">
        <w:rPr>
          <w:b/>
        </w:rPr>
        <w:t>”</w:t>
      </w:r>
      <w:r w:rsidR="00AA1580">
        <w:rPr>
          <w:b/>
        </w:rPr>
        <w:t xml:space="preserve">  It offers detailed explanations and examples of CMS-style citation as well as excellent guidance on the research and writing of college-level research papers.</w:t>
      </w:r>
      <w:r>
        <w:rPr>
          <w:b/>
        </w:rPr>
        <w:t xml:space="preserve">  For a brief introduction to </w:t>
      </w:r>
      <w:smartTag w:uri="urn:schemas-microsoft-com:office:smarttags" w:element="place">
        <w:smartTag w:uri="urn:schemas-microsoft-com:office:smarttags" w:element="City">
          <w:r>
            <w:rPr>
              <w:b/>
            </w:rPr>
            <w:t>Chicago</w:t>
          </w:r>
        </w:smartTag>
      </w:smartTag>
      <w:r>
        <w:rPr>
          <w:b/>
        </w:rPr>
        <w:t xml:space="preserve"> style, read pages 460-488 of Diana Hacker, </w:t>
      </w:r>
      <w:r w:rsidRPr="009D479B">
        <w:rPr>
          <w:b/>
          <w:i/>
        </w:rPr>
        <w:t>A Writer’s Reference</w:t>
      </w:r>
      <w:r>
        <w:rPr>
          <w:b/>
        </w:rPr>
        <w:t>.</w:t>
      </w:r>
      <w:r w:rsidR="00C66B1C">
        <w:rPr>
          <w:rStyle w:val="FootnoteReference"/>
          <w:b/>
        </w:rPr>
        <w:footnoteReference w:id="3"/>
      </w:r>
      <w:r w:rsidR="00D652AC">
        <w:rPr>
          <w:b/>
        </w:rPr>
        <w:t xml:space="preserve"> </w:t>
      </w:r>
      <w:r w:rsidR="00AA1580">
        <w:rPr>
          <w:b/>
        </w:rPr>
        <w:t xml:space="preserve">For useful templates for notes and bibliography entries, see </w:t>
      </w:r>
      <w:r w:rsidR="00D652AC">
        <w:rPr>
          <w:b/>
        </w:rPr>
        <w:t>F</w:t>
      </w:r>
      <w:r w:rsidR="00AA1580">
        <w:rPr>
          <w:b/>
        </w:rPr>
        <w:t xml:space="preserve">igure 16.1 of </w:t>
      </w:r>
      <w:proofErr w:type="spellStart"/>
      <w:r w:rsidR="00AA1580">
        <w:rPr>
          <w:b/>
        </w:rPr>
        <w:t>Turabian</w:t>
      </w:r>
      <w:proofErr w:type="spellEnd"/>
      <w:r w:rsidR="00D652AC">
        <w:rPr>
          <w:b/>
        </w:rPr>
        <w:t>.</w:t>
      </w:r>
      <w:r w:rsidR="00A36D0C">
        <w:rPr>
          <w:rStyle w:val="FootnoteReference"/>
          <w:b/>
        </w:rPr>
        <w:footnoteReference w:id="4"/>
      </w:r>
      <w:r w:rsidR="00A36D0C">
        <w:rPr>
          <w:b/>
        </w:rPr>
        <w:t xml:space="preserve">  When writing a research paper for the Loyola AHP, you should first familiarize yourself with </w:t>
      </w:r>
      <w:smartTag w:uri="urn:schemas-microsoft-com:office:smarttags" w:element="place">
        <w:smartTag w:uri="urn:schemas-microsoft-com:office:smarttags" w:element="City">
          <w:r w:rsidR="00A36D0C">
            <w:rPr>
              <w:b/>
            </w:rPr>
            <w:t>Chicago</w:t>
          </w:r>
        </w:smartTag>
      </w:smartTag>
      <w:r w:rsidR="00A36D0C">
        <w:rPr>
          <w:b/>
        </w:rPr>
        <w:t xml:space="preserve"> style and then use this handout to avoid the most common student mistakes. </w:t>
      </w:r>
      <w:r w:rsidR="00D652AC">
        <w:rPr>
          <w:b/>
        </w:rPr>
        <w:t xml:space="preserve"> </w:t>
      </w:r>
      <w:r>
        <w:rPr>
          <w:b/>
        </w:rPr>
        <w:t xml:space="preserve"> </w:t>
      </w:r>
    </w:p>
    <w:p w:rsidR="009D479B" w:rsidRDefault="009D479B" w:rsidP="009D479B">
      <w:pPr>
        <w:rPr>
          <w:b/>
        </w:rPr>
      </w:pPr>
    </w:p>
    <w:p w:rsidR="009D479B" w:rsidRPr="00492C56" w:rsidRDefault="009D479B" w:rsidP="009D479B">
      <w:pPr>
        <w:rPr>
          <w:b/>
        </w:rPr>
      </w:pPr>
    </w:p>
    <w:p w:rsidR="009D479B" w:rsidRPr="00A271CA" w:rsidRDefault="00B20BEC" w:rsidP="009D479B">
      <w:pPr>
        <w:jc w:val="center"/>
        <w:rPr>
          <w:b/>
        </w:rPr>
      </w:pPr>
      <w:r>
        <w:rPr>
          <w:b/>
        </w:rPr>
        <w:t xml:space="preserve">PROPER CITATION: </w:t>
      </w:r>
      <w:r w:rsidR="00A36D0C">
        <w:rPr>
          <w:b/>
        </w:rPr>
        <w:t>COMMON ERRORS</w:t>
      </w:r>
    </w:p>
    <w:p w:rsidR="00091DE5" w:rsidRDefault="00091DE5" w:rsidP="009D479B"/>
    <w:p w:rsidR="009D479B" w:rsidRDefault="00853F90" w:rsidP="009D479B">
      <w:r>
        <w:t xml:space="preserve">Footnotes and bibliography </w:t>
      </w:r>
      <w:r w:rsidR="009D479B">
        <w:t>entries are single-spaced, with double-spacing between items.</w:t>
      </w:r>
    </w:p>
    <w:p w:rsidR="009D479B" w:rsidRDefault="009D479B" w:rsidP="009D479B"/>
    <w:p w:rsidR="009D479B" w:rsidRDefault="009D479B" w:rsidP="00A94977">
      <w:pPr>
        <w:ind w:left="720" w:hanging="720"/>
      </w:pPr>
      <w:r>
        <w:t>The first line of bibliographic entries is flush left; the remaining lines are indented.</w:t>
      </w:r>
      <w:r w:rsidR="00A94977">
        <w:t xml:space="preserve">  Use the </w:t>
      </w:r>
      <w:r w:rsidR="00A94977" w:rsidRPr="009A3DA2">
        <w:rPr>
          <w:b/>
        </w:rPr>
        <w:t>hanging indent</w:t>
      </w:r>
      <w:r w:rsidR="00A94977">
        <w:t xml:space="preserve"> function on your computer to create your bibliography.</w:t>
      </w:r>
    </w:p>
    <w:p w:rsidR="009D479B" w:rsidRDefault="009D479B" w:rsidP="009D479B"/>
    <w:p w:rsidR="009D479B" w:rsidRDefault="009D479B" w:rsidP="009D479B">
      <w:r>
        <w:t>Dictionary and encyclopedia entries have their own spe</w:t>
      </w:r>
      <w:r w:rsidR="00F57B9F">
        <w:t xml:space="preserve">cific format.  They should </w:t>
      </w:r>
      <w:r>
        <w:t>only be cited in footnotes</w:t>
      </w:r>
      <w:r w:rsidR="00F57B9F">
        <w:t xml:space="preserve">.  (They </w:t>
      </w:r>
      <w:r w:rsidR="00C84FF1">
        <w:t xml:space="preserve">are tertiary sources and </w:t>
      </w:r>
      <w:r w:rsidR="00F57B9F">
        <w:t xml:space="preserve">should </w:t>
      </w:r>
      <w:r>
        <w:t>not be found in a bibliography.</w:t>
      </w:r>
      <w:r w:rsidR="00F57B9F">
        <w:t>)</w:t>
      </w:r>
    </w:p>
    <w:p w:rsidR="009D479B" w:rsidRDefault="009D479B" w:rsidP="009D479B"/>
    <w:p w:rsidR="009D479B" w:rsidRDefault="00F57B9F" w:rsidP="009D479B">
      <w:r>
        <w:t>Pay close attention to the guidelines</w:t>
      </w:r>
      <w:r w:rsidR="009D479B">
        <w:t xml:space="preserve"> on journal articles, especially volume and issue numbers.</w:t>
      </w:r>
    </w:p>
    <w:p w:rsidR="009D479B" w:rsidRDefault="009D479B" w:rsidP="009D479B"/>
    <w:p w:rsidR="007A6A2E" w:rsidRDefault="007A6A2E" w:rsidP="007A6A2E">
      <w:r>
        <w:t xml:space="preserve">Omit the initial </w:t>
      </w:r>
      <w:proofErr w:type="gramStart"/>
      <w:r w:rsidRPr="0052224B">
        <w:rPr>
          <w:i/>
        </w:rPr>
        <w:t>The</w:t>
      </w:r>
      <w:proofErr w:type="gramEnd"/>
      <w:r>
        <w:t xml:space="preserve"> from journal titles, e.g., </w:t>
      </w:r>
      <w:r w:rsidRPr="0052224B">
        <w:rPr>
          <w:i/>
        </w:rPr>
        <w:t>Art Bulletin</w:t>
      </w:r>
      <w:r>
        <w:t>.</w:t>
      </w:r>
    </w:p>
    <w:p w:rsidR="001A7DAF" w:rsidRDefault="001A7DAF" w:rsidP="007A6A2E"/>
    <w:p w:rsidR="009D479B" w:rsidRDefault="009D479B" w:rsidP="009D479B">
      <w:r>
        <w:t xml:space="preserve">Make sure you credit editors and translators.  </w:t>
      </w:r>
      <w:r w:rsidR="001559FC">
        <w:t>(Giorgio Vasari did not write in English.)  Do not confuse editors and translators with the authors of texts.</w:t>
      </w:r>
    </w:p>
    <w:p w:rsidR="00C77F1C" w:rsidRDefault="00C77F1C" w:rsidP="009D479B"/>
    <w:p w:rsidR="00C77F1C" w:rsidRDefault="00C77F1C" w:rsidP="009D479B">
      <w:r>
        <w:t xml:space="preserve">Learn how to recognize an edited collection of scholarly articles and how to cite individual contributors </w:t>
      </w:r>
      <w:r w:rsidR="00401F66">
        <w:t>within the collection as well as</w:t>
      </w:r>
      <w:r>
        <w:t xml:space="preserve"> the editors</w:t>
      </w:r>
      <w:r w:rsidR="00273C68">
        <w:t xml:space="preserve"> of the collection</w:t>
      </w:r>
      <w:r>
        <w:t>.</w:t>
      </w:r>
    </w:p>
    <w:p w:rsidR="00B20BEC" w:rsidRDefault="00B20BEC" w:rsidP="009D479B"/>
    <w:p w:rsidR="00B20BEC" w:rsidRDefault="00B20BEC" w:rsidP="009D479B">
      <w:r>
        <w:t xml:space="preserve">Do not confuse the Chicago </w:t>
      </w:r>
      <w:r w:rsidRPr="00F57B9F">
        <w:rPr>
          <w:i/>
        </w:rPr>
        <w:t>notes-bibliography style</w:t>
      </w:r>
      <w:r>
        <w:t xml:space="preserve"> with the</w:t>
      </w:r>
      <w:r w:rsidR="00DF1A94">
        <w:t xml:space="preserve"> new</w:t>
      </w:r>
      <w:r>
        <w:t xml:space="preserve"> </w:t>
      </w:r>
      <w:r w:rsidRPr="00F57B9F">
        <w:rPr>
          <w:i/>
        </w:rPr>
        <w:t>parenthetical citations-reference</w:t>
      </w:r>
      <w:r>
        <w:t xml:space="preserve"> </w:t>
      </w:r>
      <w:r w:rsidRPr="00F57B9F">
        <w:rPr>
          <w:i/>
        </w:rPr>
        <w:t>list style</w:t>
      </w:r>
      <w:r>
        <w:t xml:space="preserve">; always look for </w:t>
      </w:r>
      <w:r w:rsidR="00372101">
        <w:t xml:space="preserve">Chicago </w:t>
      </w:r>
      <w:r>
        <w:t xml:space="preserve">examples </w:t>
      </w:r>
      <w:r w:rsidR="00F57B9F">
        <w:t xml:space="preserve">identified </w:t>
      </w:r>
      <w:r>
        <w:t xml:space="preserve">with a B or N.  </w:t>
      </w:r>
    </w:p>
    <w:p w:rsidR="00FA62BD" w:rsidRDefault="00FA62BD"/>
    <w:p w:rsidR="009E2C19" w:rsidRDefault="003D7A02">
      <w:r>
        <w:t>Page numbers: In a bibliography ent</w:t>
      </w:r>
      <w:r w:rsidR="006F56B7">
        <w:t>ry, provide the entire page range</w:t>
      </w:r>
      <w:r>
        <w:t xml:space="preserve"> of a journal article</w:t>
      </w:r>
      <w:r w:rsidR="00932B46">
        <w:t xml:space="preserve"> or part of an edited collection</w:t>
      </w:r>
      <w:r w:rsidR="003F7670">
        <w:t>.</w:t>
      </w:r>
      <w:r>
        <w:t xml:space="preserve">  In a footnote, provi</w:t>
      </w:r>
      <w:r w:rsidR="006F02CF">
        <w:t xml:space="preserve">de only the page or pages </w:t>
      </w:r>
      <w:r>
        <w:t>you are directly citing.</w:t>
      </w:r>
    </w:p>
    <w:p w:rsidR="008E66E4" w:rsidRDefault="008E66E4"/>
    <w:p w:rsidR="008E66E4" w:rsidRDefault="008E66E4">
      <w:r>
        <w:t xml:space="preserve">When citing an online source, try to locate and cite </w:t>
      </w:r>
      <w:r w:rsidRPr="008E66E4">
        <w:rPr>
          <w:b/>
        </w:rPr>
        <w:t>the stable URL</w:t>
      </w:r>
      <w:r>
        <w:t>.  JSTOR offers this option.</w:t>
      </w:r>
    </w:p>
    <w:p w:rsidR="00487EB0" w:rsidRDefault="00487EB0"/>
    <w:p w:rsidR="00732040" w:rsidRDefault="00732040" w:rsidP="007C1BA7">
      <w:pPr>
        <w:jc w:val="center"/>
        <w:rPr>
          <w:b/>
        </w:rPr>
      </w:pPr>
    </w:p>
    <w:p w:rsidR="00732040" w:rsidRDefault="00732040" w:rsidP="007C1BA7">
      <w:pPr>
        <w:jc w:val="center"/>
        <w:rPr>
          <w:b/>
        </w:rPr>
      </w:pPr>
    </w:p>
    <w:p w:rsidR="003F7670" w:rsidRPr="007C1BA7" w:rsidRDefault="00987085" w:rsidP="007C1BA7">
      <w:pPr>
        <w:jc w:val="center"/>
        <w:rPr>
          <w:b/>
        </w:rPr>
      </w:pPr>
      <w:r>
        <w:rPr>
          <w:b/>
        </w:rPr>
        <w:t xml:space="preserve">PROPER CITATION: </w:t>
      </w:r>
      <w:r w:rsidR="00F3712C">
        <w:rPr>
          <w:b/>
        </w:rPr>
        <w:t>MORE DETAIL ON</w:t>
      </w:r>
      <w:r w:rsidR="007C1BA7">
        <w:rPr>
          <w:b/>
        </w:rPr>
        <w:t xml:space="preserve"> COMMON ERRORS</w:t>
      </w:r>
    </w:p>
    <w:p w:rsidR="00B021F3" w:rsidRDefault="00B021F3" w:rsidP="00EC48EF">
      <w:pPr>
        <w:rPr>
          <w:u w:val="single"/>
        </w:rPr>
      </w:pPr>
    </w:p>
    <w:p w:rsidR="00E350D6" w:rsidRDefault="00E350D6" w:rsidP="00EC48EF">
      <w:r>
        <w:rPr>
          <w:u w:val="single"/>
        </w:rPr>
        <w:t>Arrangement of Bibliography Entries</w:t>
      </w:r>
      <w:r>
        <w:t>:</w:t>
      </w:r>
    </w:p>
    <w:p w:rsidR="00E350D6" w:rsidRDefault="00E350D6" w:rsidP="00EC48EF">
      <w:r>
        <w:t xml:space="preserve">“If your bibliography includes two or more works written, edited, or translated by the same individual, arrange the entries alphabetically by title (ignoring articles such as </w:t>
      </w:r>
      <w:r w:rsidRPr="00FB7EE4">
        <w:rPr>
          <w:i/>
        </w:rPr>
        <w:t>a</w:t>
      </w:r>
      <w:r>
        <w:t xml:space="preserve"> or </w:t>
      </w:r>
      <w:r w:rsidRPr="00FB7EE4">
        <w:rPr>
          <w:i/>
        </w:rPr>
        <w:t>the</w:t>
      </w:r>
      <w:r>
        <w:t>). For all entries after the first, replace the individual’s name with a long dash called a 3-em dash.  For edited or translated works, put a comma and the appropriate designation (</w:t>
      </w:r>
      <w:r w:rsidRPr="00FB7EE4">
        <w:rPr>
          <w:i/>
        </w:rPr>
        <w:t>ed.</w:t>
      </w:r>
      <w:r>
        <w:t xml:space="preserve">, </w:t>
      </w:r>
      <w:r w:rsidRPr="00FB7EE4">
        <w:rPr>
          <w:i/>
        </w:rPr>
        <w:t>trans.</w:t>
      </w:r>
      <w:r>
        <w:t>, and so on) after the dash.</w:t>
      </w:r>
      <w:r w:rsidR="00FB7EE4">
        <w:t xml:space="preserve">  List all such works before any that the individual coauthored or </w:t>
      </w:r>
      <w:proofErr w:type="spellStart"/>
      <w:r w:rsidR="00FB7EE4">
        <w:t>coedited</w:t>
      </w:r>
      <w:proofErr w:type="spellEnd"/>
      <w:r w:rsidR="00FB7EE4">
        <w:t>.</w:t>
      </w:r>
      <w:r>
        <w:t>”</w:t>
      </w:r>
      <w:r w:rsidR="00FB7EE4">
        <w:rPr>
          <w:rStyle w:val="FootnoteReference"/>
        </w:rPr>
        <w:footnoteReference w:id="5"/>
      </w:r>
    </w:p>
    <w:p w:rsidR="007D2DDB" w:rsidRDefault="007D2DDB" w:rsidP="00EC48EF"/>
    <w:p w:rsidR="007D2DDB" w:rsidRPr="007D2DDB" w:rsidRDefault="007D2DDB" w:rsidP="007D2DDB">
      <w:pPr>
        <w:jc w:val="center"/>
        <w:rPr>
          <w:b/>
        </w:rPr>
      </w:pPr>
      <w:r w:rsidRPr="007D2DDB">
        <w:rPr>
          <w:b/>
        </w:rPr>
        <w:t>Examples of Bibliography Entries Involving Multiple Works by the Same Individual</w:t>
      </w:r>
    </w:p>
    <w:p w:rsidR="006F02CF" w:rsidRDefault="006F02CF" w:rsidP="00EC48EF"/>
    <w:p w:rsidR="00FB7EE4" w:rsidRDefault="00FB7EE4" w:rsidP="00EC48EF">
      <w:proofErr w:type="spellStart"/>
      <w:r>
        <w:t>Grabar</w:t>
      </w:r>
      <w:proofErr w:type="spellEnd"/>
      <w:r>
        <w:t xml:space="preserve">, Oleg. </w:t>
      </w:r>
      <w:proofErr w:type="gramStart"/>
      <w:r w:rsidRPr="00395ED9">
        <w:rPr>
          <w:i/>
        </w:rPr>
        <w:t xml:space="preserve">The </w:t>
      </w:r>
      <w:smartTag w:uri="urn:schemas-microsoft-com:office:smarttags" w:element="place">
        <w:smartTag w:uri="urn:schemas-microsoft-com:office:smarttags" w:element="City">
          <w:r w:rsidRPr="00395ED9">
            <w:rPr>
              <w:i/>
            </w:rPr>
            <w:t>Alhambra</w:t>
          </w:r>
        </w:smartTag>
      </w:smartTag>
      <w:r>
        <w:t>.</w:t>
      </w:r>
      <w:proofErr w:type="gramEnd"/>
      <w:r>
        <w:t xml:space="preserve"> </w:t>
      </w:r>
      <w:smartTag w:uri="urn:schemas-microsoft-com:office:smarttags" w:element="City">
        <w:smartTag w:uri="urn:schemas-microsoft-com:office:smarttags" w:element="place">
          <w:r>
            <w:t>London</w:t>
          </w:r>
        </w:smartTag>
      </w:smartTag>
      <w:r>
        <w:t xml:space="preserve">: </w:t>
      </w:r>
      <w:smartTag w:uri="urn:schemas-microsoft-com:office:smarttags" w:element="Street">
        <w:smartTag w:uri="urn:schemas-microsoft-com:office:smarttags" w:element="address">
          <w:r>
            <w:t>Allen Lane</w:t>
          </w:r>
        </w:smartTag>
      </w:smartTag>
      <w:r>
        <w:t>, 1978.</w:t>
      </w:r>
    </w:p>
    <w:p w:rsidR="00FB7EE4" w:rsidRDefault="00FB7EE4" w:rsidP="00EC48EF"/>
    <w:p w:rsidR="00FB7EE4" w:rsidRDefault="00666C20" w:rsidP="00EC48EF">
      <w:r>
        <w:t xml:space="preserve">———. </w:t>
      </w:r>
      <w:proofErr w:type="gramStart"/>
      <w:r w:rsidRPr="00666C20">
        <w:rPr>
          <w:i/>
        </w:rPr>
        <w:t>The Dome of the Rock</w:t>
      </w:r>
      <w:r>
        <w:t>.</w:t>
      </w:r>
      <w:proofErr w:type="gramEnd"/>
      <w:r>
        <w:t xml:space="preserve"> </w:t>
      </w:r>
      <w:smartTag w:uri="urn:schemas-microsoft-com:office:smarttags" w:element="place">
        <w:smartTag w:uri="urn:schemas-microsoft-com:office:smarttags" w:element="City">
          <w:r>
            <w:t>Cambridge</w:t>
          </w:r>
        </w:smartTag>
        <w:r>
          <w:t xml:space="preserve">, </w:t>
        </w:r>
        <w:smartTag w:uri="urn:schemas-microsoft-com:office:smarttags" w:element="State">
          <w:r>
            <w:t>MA</w:t>
          </w:r>
        </w:smartTag>
      </w:smartTag>
      <w:r>
        <w:t>: Belknap Press, 2006.</w:t>
      </w:r>
    </w:p>
    <w:p w:rsidR="007D2DDB" w:rsidRDefault="007D2DDB" w:rsidP="00EC48EF"/>
    <w:p w:rsidR="007D2DDB" w:rsidRDefault="007D2DDB" w:rsidP="00EC48EF">
      <w:r>
        <w:t xml:space="preserve">———. </w:t>
      </w:r>
      <w:proofErr w:type="gramStart"/>
      <w:r w:rsidRPr="00307DCB">
        <w:rPr>
          <w:i/>
        </w:rPr>
        <w:t>The Formation of Islamic Art</w:t>
      </w:r>
      <w:r>
        <w:t>.</w:t>
      </w:r>
      <w:proofErr w:type="gramEnd"/>
      <w:r>
        <w:t xml:space="preserve"> Rev. </w:t>
      </w:r>
      <w:proofErr w:type="gramStart"/>
      <w:r>
        <w:t>ed</w:t>
      </w:r>
      <w:proofErr w:type="gramEnd"/>
      <w:r>
        <w:t xml:space="preserve">. </w:t>
      </w:r>
      <w:smartTag w:uri="urn:schemas-microsoft-com:office:smarttags" w:element="City">
        <w:r>
          <w:t>New Haven</w:t>
        </w:r>
      </w:smartTag>
      <w:r>
        <w:t xml:space="preserve">, </w:t>
      </w:r>
      <w:smartTag w:uri="urn:schemas-microsoft-com:office:smarttags" w:element="State">
        <w:r>
          <w:t>CT</w:t>
        </w:r>
      </w:smartTag>
      <w:r>
        <w:t xml:space="preserve">: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xml:space="preserve"> Press, 1987.</w:t>
      </w:r>
    </w:p>
    <w:p w:rsidR="00E350D6" w:rsidRDefault="00E350D6" w:rsidP="00EC48EF">
      <w:pPr>
        <w:rPr>
          <w:u w:val="single"/>
        </w:rPr>
      </w:pPr>
    </w:p>
    <w:p w:rsidR="001C5090" w:rsidRDefault="001C5090" w:rsidP="00EC48EF">
      <w:r>
        <w:rPr>
          <w:u w:val="single"/>
        </w:rPr>
        <w:t>Parts of Edited Collections</w:t>
      </w:r>
      <w:r>
        <w:t>:</w:t>
      </w:r>
    </w:p>
    <w:p w:rsidR="001C5090" w:rsidRDefault="001C5090" w:rsidP="00EC48EF">
      <w:r>
        <w:t xml:space="preserve">“If you cite part of an edited collection with contributions by multiple authors, list the part author (in roman type, enclosed in quotation marks) first.  After the designation </w:t>
      </w:r>
      <w:r w:rsidRPr="00022E75">
        <w:rPr>
          <w:i/>
        </w:rPr>
        <w:t>in</w:t>
      </w:r>
      <w:r>
        <w:t>, give the book title and the name of the editor.  In a bibliography entry, include the full span of page numbers for that part following the book title; in a note, give the page number(s) for a specific reference as you would for any other quotation.”</w:t>
      </w:r>
      <w:r>
        <w:rPr>
          <w:rStyle w:val="FootnoteReference"/>
        </w:rPr>
        <w:footnoteReference w:id="6"/>
      </w:r>
    </w:p>
    <w:p w:rsidR="000404D5" w:rsidRPr="001C5090" w:rsidRDefault="000404D5" w:rsidP="00EC48EF"/>
    <w:p w:rsidR="001C5090" w:rsidRDefault="001C5090" w:rsidP="00EC48EF">
      <w:pPr>
        <w:rPr>
          <w:u w:val="single"/>
        </w:rPr>
      </w:pPr>
    </w:p>
    <w:p w:rsidR="003B4F71" w:rsidRDefault="00F37032" w:rsidP="0063597F">
      <w:pPr>
        <w:jc w:val="center"/>
        <w:rPr>
          <w:b/>
        </w:rPr>
      </w:pPr>
      <w:r>
        <w:rPr>
          <w:b/>
        </w:rPr>
        <w:lastRenderedPageBreak/>
        <w:t>Examples of Bibliography Entries and Footnotes of Parts of Edited Collections</w:t>
      </w:r>
    </w:p>
    <w:p w:rsidR="006F02CF" w:rsidRDefault="006F02CF" w:rsidP="0063597F">
      <w:pPr>
        <w:jc w:val="center"/>
      </w:pPr>
    </w:p>
    <w:p w:rsidR="003B4F71" w:rsidRDefault="003B4F71" w:rsidP="003B4F71">
      <w:pPr>
        <w:ind w:left="720" w:hanging="720"/>
      </w:pPr>
      <w:proofErr w:type="spellStart"/>
      <w:r>
        <w:t>Chave</w:t>
      </w:r>
      <w:proofErr w:type="spellEnd"/>
      <w:r>
        <w:t xml:space="preserve">, Anna C. “Minimalism and Biography.” </w:t>
      </w:r>
      <w:proofErr w:type="gramStart"/>
      <w:r>
        <w:t xml:space="preserve">In </w:t>
      </w:r>
      <w:r w:rsidRPr="00F37032">
        <w:rPr>
          <w:i/>
        </w:rPr>
        <w:t>Reclaiming Female Agency: Feminist Art</w:t>
      </w:r>
      <w:r>
        <w:rPr>
          <w:i/>
        </w:rPr>
        <w:t xml:space="preserve"> History after Postmodernism</w:t>
      </w:r>
      <w:r>
        <w:t xml:space="preserve">, edited by Norma </w:t>
      </w:r>
      <w:proofErr w:type="spellStart"/>
      <w:r>
        <w:t>Broude</w:t>
      </w:r>
      <w:proofErr w:type="spellEnd"/>
      <w:r>
        <w:t xml:space="preserve"> and Mary D. Garrard, 385-407.</w:t>
      </w:r>
      <w:proofErr w:type="gramEnd"/>
      <w:r>
        <w:t xml:space="preserve"> </w:t>
      </w:r>
      <w:smartTag w:uri="urn:schemas-microsoft-com:office:smarttags" w:element="City">
        <w:r>
          <w:t>Berkeley</w:t>
        </w:r>
      </w:smartTag>
      <w:r>
        <w:t xml:space="preserve"> and </w:t>
      </w:r>
      <w:smartTag w:uri="urn:schemas-microsoft-com:office:smarttags" w:element="City">
        <w:r>
          <w:t>Los Angeles</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xml:space="preserve"> Press, 2005.</w:t>
      </w:r>
      <w:r>
        <w:rPr>
          <w:rStyle w:val="FootnoteReference"/>
        </w:rPr>
        <w:footnoteReference w:id="7"/>
      </w:r>
    </w:p>
    <w:p w:rsidR="003B4F71" w:rsidRDefault="003B4F71" w:rsidP="003B4F71">
      <w:pPr>
        <w:ind w:left="720" w:hanging="720"/>
      </w:pPr>
    </w:p>
    <w:p w:rsidR="00065685" w:rsidRDefault="00915AE4" w:rsidP="00F37032">
      <w:proofErr w:type="spellStart"/>
      <w:r>
        <w:t>Th</w:t>
      </w:r>
      <w:r w:rsidR="00DF1A94">
        <w:t>iselton</w:t>
      </w:r>
      <w:proofErr w:type="spellEnd"/>
      <w:r w:rsidR="00DF1A94">
        <w:t xml:space="preserve">, Anthony. </w:t>
      </w:r>
      <w:proofErr w:type="gramStart"/>
      <w:r>
        <w:t>“Biblical Studies and Theoretical Hermeneutics.”</w:t>
      </w:r>
      <w:proofErr w:type="gramEnd"/>
      <w:r>
        <w:t xml:space="preserve"> In </w:t>
      </w:r>
      <w:r w:rsidRPr="00915AE4">
        <w:rPr>
          <w:i/>
        </w:rPr>
        <w:t xml:space="preserve">The </w:t>
      </w:r>
      <w:smartTag w:uri="urn:schemas-microsoft-com:office:smarttags" w:element="place">
        <w:smartTag w:uri="urn:schemas-microsoft-com:office:smarttags" w:element="City">
          <w:r w:rsidRPr="00915AE4">
            <w:rPr>
              <w:i/>
            </w:rPr>
            <w:t>Cambridge</w:t>
          </w:r>
        </w:smartTag>
      </w:smartTag>
    </w:p>
    <w:p w:rsidR="00915AE4" w:rsidRDefault="00915AE4" w:rsidP="00F37032">
      <w:r>
        <w:tab/>
      </w:r>
      <w:r w:rsidRPr="00915AE4">
        <w:rPr>
          <w:i/>
        </w:rPr>
        <w:t>Companion to Biblical Interpretation</w:t>
      </w:r>
      <w:r>
        <w:t xml:space="preserve">, edited by John Barton, 95-113. </w:t>
      </w:r>
      <w:smartTag w:uri="urn:schemas-microsoft-com:office:smarttags" w:element="City">
        <w:smartTag w:uri="urn:schemas-microsoft-com:office:smarttags" w:element="place">
          <w:r>
            <w:t>Cambridge</w:t>
          </w:r>
        </w:smartTag>
      </w:smartTag>
      <w:r>
        <w:t>:</w:t>
      </w:r>
    </w:p>
    <w:p w:rsidR="00915AE4" w:rsidRPr="00F37032" w:rsidRDefault="00915AE4" w:rsidP="00F37032">
      <w:r>
        <w:tab/>
      </w:r>
      <w:proofErr w:type="gramStart"/>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 1998.</w:t>
      </w:r>
      <w:proofErr w:type="gramEnd"/>
      <w:r>
        <w:rPr>
          <w:rStyle w:val="FootnoteReference"/>
        </w:rPr>
        <w:footnoteReference w:id="8"/>
      </w:r>
    </w:p>
    <w:p w:rsidR="001C5090" w:rsidRDefault="001C5090" w:rsidP="00EC48EF">
      <w:pPr>
        <w:rPr>
          <w:u w:val="single"/>
        </w:rPr>
      </w:pPr>
    </w:p>
    <w:p w:rsidR="00EC48EF" w:rsidRDefault="00EC48EF" w:rsidP="00EC48EF">
      <w:r w:rsidRPr="00004F7D">
        <w:rPr>
          <w:u w:val="single"/>
        </w:rPr>
        <w:t>Editor or Translator in Addition to an Author</w:t>
      </w:r>
      <w:r>
        <w:t>:</w:t>
      </w:r>
    </w:p>
    <w:p w:rsidR="00EC48EF" w:rsidRDefault="00EC48EF" w:rsidP="00EC48EF">
      <w:r>
        <w:t xml:space="preserve">“In notes, insert the abbreviation </w:t>
      </w:r>
      <w:r w:rsidRPr="00004F7D">
        <w:rPr>
          <w:i/>
        </w:rPr>
        <w:t>ed.</w:t>
      </w:r>
      <w:r>
        <w:t xml:space="preserve"> </w:t>
      </w:r>
      <w:r w:rsidR="00DA2015">
        <w:t xml:space="preserve">(never </w:t>
      </w:r>
      <w:proofErr w:type="spellStart"/>
      <w:r w:rsidR="00DA2015" w:rsidRPr="00DA2015">
        <w:rPr>
          <w:i/>
        </w:rPr>
        <w:t>eds</w:t>
      </w:r>
      <w:proofErr w:type="spellEnd"/>
      <w:proofErr w:type="gramStart"/>
      <w:r w:rsidR="00DA2015">
        <w:t>,.</w:t>
      </w:r>
      <w:proofErr w:type="gramEnd"/>
      <w:r w:rsidR="00DA2015">
        <w:t xml:space="preserve"> </w:t>
      </w:r>
      <w:proofErr w:type="gramStart"/>
      <w:r w:rsidR="00DA2015">
        <w:t>since</w:t>
      </w:r>
      <w:proofErr w:type="gramEnd"/>
      <w:r w:rsidR="00DA2015">
        <w:t xml:space="preserve"> in this context it means “edited by” rather than “editor”) </w:t>
      </w:r>
      <w:r>
        <w:t xml:space="preserve">or </w:t>
      </w:r>
      <w:r w:rsidRPr="00004F7D">
        <w:rPr>
          <w:i/>
        </w:rPr>
        <w:t>trans.</w:t>
      </w:r>
      <w:r>
        <w:t xml:space="preserve"> before the editor’s or translator’s name.</w:t>
      </w:r>
      <w:r w:rsidR="000D5D98">
        <w:t xml:space="preserve">  In bibliography entries, insert the phrase </w:t>
      </w:r>
      <w:proofErr w:type="gramStart"/>
      <w:r w:rsidR="000D5D98" w:rsidRPr="00004F7D">
        <w:rPr>
          <w:i/>
        </w:rPr>
        <w:t>Edited</w:t>
      </w:r>
      <w:proofErr w:type="gramEnd"/>
      <w:r w:rsidR="000D5D98" w:rsidRPr="00004F7D">
        <w:rPr>
          <w:i/>
        </w:rPr>
        <w:t xml:space="preserve"> by</w:t>
      </w:r>
      <w:r w:rsidR="000D5D98">
        <w:t xml:space="preserve"> or </w:t>
      </w:r>
      <w:r w:rsidR="000D5D98" w:rsidRPr="00004F7D">
        <w:rPr>
          <w:i/>
        </w:rPr>
        <w:t>Translated by</w:t>
      </w:r>
      <w:r w:rsidR="000D5D98">
        <w:t xml:space="preserve"> before the editor’s or translator’s name.  When a title page identifies an editor or translator with a complicated description, such as “Edited with an Introduction and Notes by” or “Translated with a </w:t>
      </w:r>
      <w:proofErr w:type="spellStart"/>
      <w:r w:rsidR="000D5D98">
        <w:t>Foreward</w:t>
      </w:r>
      <w:proofErr w:type="spellEnd"/>
      <w:r w:rsidR="000D5D98">
        <w:t xml:space="preserve"> by,” you can simplify this phrase to edited by or translated by and follow the above examples.  In general, if a foreword or an introduction is written by someone other than the author, you need not mention that person unless you cite that part specifically.”</w:t>
      </w:r>
      <w:r w:rsidR="000D5D98">
        <w:rPr>
          <w:rStyle w:val="FootnoteReference"/>
        </w:rPr>
        <w:footnoteReference w:id="9"/>
      </w:r>
    </w:p>
    <w:p w:rsidR="00D5783C" w:rsidRDefault="00D5783C" w:rsidP="00EC48EF"/>
    <w:p w:rsidR="00A80F37" w:rsidRDefault="00D5783C" w:rsidP="00D5783C">
      <w:pPr>
        <w:jc w:val="center"/>
        <w:rPr>
          <w:b/>
        </w:rPr>
      </w:pPr>
      <w:r w:rsidRPr="00236878">
        <w:rPr>
          <w:b/>
        </w:rPr>
        <w:t>Examples of Bibliography Entries and Footno</w:t>
      </w:r>
      <w:r w:rsidR="00A80F37">
        <w:rPr>
          <w:b/>
        </w:rPr>
        <w:t>tes with an</w:t>
      </w:r>
    </w:p>
    <w:p w:rsidR="00D5783C" w:rsidRDefault="00A80F37" w:rsidP="00D5783C">
      <w:pPr>
        <w:jc w:val="center"/>
        <w:rPr>
          <w:b/>
        </w:rPr>
      </w:pPr>
      <w:r>
        <w:rPr>
          <w:b/>
        </w:rPr>
        <w:t>Editor or Translator in Addition to the Author</w:t>
      </w:r>
    </w:p>
    <w:p w:rsidR="006F02CF" w:rsidRPr="00236878" w:rsidRDefault="006F02CF" w:rsidP="00D5783C">
      <w:pPr>
        <w:jc w:val="center"/>
        <w:rPr>
          <w:b/>
        </w:rPr>
      </w:pPr>
    </w:p>
    <w:p w:rsidR="006F2D5C" w:rsidRDefault="006F2D5C" w:rsidP="00D5783C">
      <w:proofErr w:type="spellStart"/>
      <w:proofErr w:type="gramStart"/>
      <w:r>
        <w:t>Adorno</w:t>
      </w:r>
      <w:proofErr w:type="spellEnd"/>
      <w:r>
        <w:t>, Theodor W., and Walter Benjamin.</w:t>
      </w:r>
      <w:proofErr w:type="gramEnd"/>
      <w:r>
        <w:t xml:space="preserve"> </w:t>
      </w:r>
      <w:r w:rsidRPr="006F2D5C">
        <w:rPr>
          <w:i/>
        </w:rPr>
        <w:t>The Complete Correspondence, 1928-1940</w:t>
      </w:r>
      <w:r>
        <w:t xml:space="preserve">. </w:t>
      </w:r>
    </w:p>
    <w:p w:rsidR="006F2D5C" w:rsidRDefault="006F2D5C" w:rsidP="00D5783C">
      <w:r>
        <w:tab/>
      </w:r>
      <w:proofErr w:type="gramStart"/>
      <w:r>
        <w:t xml:space="preserve">Edited by Henri </w:t>
      </w:r>
      <w:proofErr w:type="spellStart"/>
      <w:r>
        <w:t>Lonitz</w:t>
      </w:r>
      <w:proofErr w:type="spellEnd"/>
      <w:r>
        <w:t>.</w:t>
      </w:r>
      <w:proofErr w:type="gramEnd"/>
      <w:r>
        <w:t xml:space="preserve">  </w:t>
      </w:r>
      <w:proofErr w:type="gramStart"/>
      <w:r>
        <w:t>Translated by Nicholas Walker.</w:t>
      </w:r>
      <w:proofErr w:type="gramEnd"/>
      <w:r>
        <w:t xml:space="preserve"> </w:t>
      </w:r>
      <w:smartTag w:uri="urn:schemas-microsoft-com:office:smarttags" w:element="place">
        <w:smartTag w:uri="urn:schemas-microsoft-com:office:smarttags" w:element="City">
          <w:r>
            <w:t>Cambridge</w:t>
          </w:r>
        </w:smartTag>
        <w:r>
          <w:t xml:space="preserve">, </w:t>
        </w:r>
        <w:smartTag w:uri="urn:schemas-microsoft-com:office:smarttags" w:element="State">
          <w:r>
            <w:t>MA</w:t>
          </w:r>
        </w:smartTag>
      </w:smartTag>
      <w:r>
        <w:t>: Harvard</w:t>
      </w:r>
    </w:p>
    <w:p w:rsidR="006F2D5C" w:rsidRDefault="006F2D5C" w:rsidP="00D5783C">
      <w:r>
        <w:tab/>
      </w:r>
      <w:proofErr w:type="gramStart"/>
      <w:r>
        <w:t>University Press, 1999.</w:t>
      </w:r>
      <w:proofErr w:type="gramEnd"/>
      <w:r>
        <w:rPr>
          <w:rStyle w:val="FootnoteReference"/>
        </w:rPr>
        <w:footnoteReference w:id="10"/>
      </w:r>
    </w:p>
    <w:p w:rsidR="0037246D" w:rsidRDefault="0037246D" w:rsidP="00D5783C"/>
    <w:p w:rsidR="00D5783C" w:rsidRDefault="0037246D" w:rsidP="00B01B14">
      <w:pPr>
        <w:ind w:left="720" w:hanging="720"/>
      </w:pPr>
      <w:proofErr w:type="spellStart"/>
      <w:r>
        <w:t>Deleuze</w:t>
      </w:r>
      <w:proofErr w:type="spellEnd"/>
      <w:r>
        <w:t xml:space="preserve">, Gilles. </w:t>
      </w:r>
      <w:r w:rsidRPr="00062D71">
        <w:rPr>
          <w:i/>
        </w:rPr>
        <w:t>The Fold: Leibniz and the Baroque</w:t>
      </w:r>
      <w:r>
        <w:t xml:space="preserve">. </w:t>
      </w:r>
      <w:proofErr w:type="gramStart"/>
      <w:r>
        <w:t>Translated by Tom Conley.</w:t>
      </w:r>
      <w:proofErr w:type="gramEnd"/>
      <w:r>
        <w:t xml:space="preserve"> </w:t>
      </w:r>
      <w:smartTag w:uri="urn:schemas-microsoft-com:office:smarttags" w:element="City">
        <w:r>
          <w:t>Minneapolis</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xml:space="preserve"> Press, 1993</w:t>
      </w:r>
      <w:r w:rsidR="00D5783C">
        <w:t>.</w:t>
      </w:r>
      <w:r w:rsidR="00D5783C">
        <w:rPr>
          <w:rStyle w:val="FootnoteReference"/>
        </w:rPr>
        <w:footnoteReference w:id="11"/>
      </w:r>
    </w:p>
    <w:p w:rsidR="00D5783C" w:rsidRDefault="00D5783C" w:rsidP="00D5783C"/>
    <w:p w:rsidR="00D5783C" w:rsidRDefault="00D5783C" w:rsidP="00D5783C">
      <w:r>
        <w:t xml:space="preserve">Procopius. </w:t>
      </w:r>
      <w:proofErr w:type="gramStart"/>
      <w:r w:rsidRPr="00680D7E">
        <w:rPr>
          <w:i/>
        </w:rPr>
        <w:t>Secret History</w:t>
      </w:r>
      <w:r>
        <w:t>.</w:t>
      </w:r>
      <w:proofErr w:type="gramEnd"/>
      <w:r>
        <w:t xml:space="preserve"> </w:t>
      </w:r>
      <w:proofErr w:type="gramStart"/>
      <w:r>
        <w:t>Translated by Richard Atwater.</w:t>
      </w:r>
      <w:proofErr w:type="gramEnd"/>
      <w:r>
        <w:t xml:space="preserve"> </w:t>
      </w:r>
      <w:smartTag w:uri="urn:schemas-microsoft-com:office:smarttags" w:element="City">
        <w:r>
          <w:t>Ann Arbor</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Michigan</w:t>
          </w:r>
        </w:smartTag>
      </w:smartTag>
    </w:p>
    <w:p w:rsidR="0041248B" w:rsidRDefault="00D5783C" w:rsidP="00EC48EF">
      <w:r>
        <w:tab/>
      </w:r>
      <w:proofErr w:type="gramStart"/>
      <w:r>
        <w:t>Press, 1963.</w:t>
      </w:r>
      <w:proofErr w:type="gramEnd"/>
      <w:r>
        <w:rPr>
          <w:rStyle w:val="FootnoteReference"/>
        </w:rPr>
        <w:footnoteReference w:id="12"/>
      </w:r>
    </w:p>
    <w:p w:rsidR="00D80219" w:rsidRDefault="00D80219" w:rsidP="00D80219">
      <w:r w:rsidRPr="00600D1D">
        <w:rPr>
          <w:u w:val="single"/>
        </w:rPr>
        <w:lastRenderedPageBreak/>
        <w:t>Publisher’s Name</w:t>
      </w:r>
      <w:r>
        <w:t>:</w:t>
      </w:r>
    </w:p>
    <w:p w:rsidR="00D80219" w:rsidRDefault="00D80219" w:rsidP="00D80219">
      <w:r>
        <w:t xml:space="preserve">“Give the publisher’s name for each book exactly as it appears on the title page, even if you know that the name has since changed or is printed differently in different books in your bibliography.  To save space, however, you may omit an initial </w:t>
      </w:r>
      <w:proofErr w:type="gramStart"/>
      <w:r w:rsidRPr="002734C7">
        <w:rPr>
          <w:i/>
        </w:rPr>
        <w:t>The</w:t>
      </w:r>
      <w:proofErr w:type="gramEnd"/>
      <w:r>
        <w:t xml:space="preserve"> and such abbreviations as </w:t>
      </w:r>
      <w:r w:rsidRPr="002734C7">
        <w:rPr>
          <w:i/>
        </w:rPr>
        <w:t>Inc., Ltd., S.A., Co., &amp;Co</w:t>
      </w:r>
      <w:r>
        <w:t xml:space="preserve">., and </w:t>
      </w:r>
      <w:r w:rsidRPr="002734C7">
        <w:rPr>
          <w:i/>
        </w:rPr>
        <w:t>Publishing Co</w:t>
      </w:r>
      <w:r>
        <w:t>.”</w:t>
      </w:r>
      <w:r>
        <w:rPr>
          <w:rStyle w:val="FootnoteReference"/>
        </w:rPr>
        <w:footnoteReference w:id="13"/>
      </w:r>
    </w:p>
    <w:p w:rsidR="00D80219" w:rsidRDefault="00D80219" w:rsidP="00D80219"/>
    <w:p w:rsidR="00D80219" w:rsidRDefault="00D80219" w:rsidP="00D80219">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 Press</w:t>
          </w:r>
        </w:smartTag>
      </w:smartTag>
      <w:r>
        <w:t xml:space="preserve"> </w:t>
      </w:r>
      <w:r>
        <w:tab/>
      </w:r>
      <w:r w:rsidRPr="002734C7">
        <w:rPr>
          <w:i/>
        </w:rPr>
        <w:t>instead of</w:t>
      </w:r>
      <w:r>
        <w:tab/>
        <w:t>The University of Chicago Press</w:t>
      </w:r>
    </w:p>
    <w:p w:rsidR="00D80219" w:rsidRDefault="00D80219" w:rsidP="00D80219">
      <w:proofErr w:type="gramStart"/>
      <w:r>
        <w:t>Little, Brown</w:t>
      </w:r>
      <w:r>
        <w:tab/>
      </w:r>
      <w:r>
        <w:tab/>
      </w:r>
      <w:r>
        <w:tab/>
      </w:r>
      <w:r w:rsidRPr="002734C7">
        <w:rPr>
          <w:i/>
        </w:rPr>
        <w:t>instead of</w:t>
      </w:r>
      <w:r>
        <w:tab/>
        <w:t>Little, Brown &amp; Co.</w:t>
      </w:r>
      <w:proofErr w:type="gramEnd"/>
    </w:p>
    <w:p w:rsidR="00EB56DA" w:rsidRDefault="00EB56DA" w:rsidP="00D80219">
      <w:r>
        <w:t>Thames &amp; Hudson</w:t>
      </w:r>
      <w:r>
        <w:tab/>
      </w:r>
      <w:r>
        <w:tab/>
      </w:r>
      <w:r w:rsidRPr="00300430">
        <w:rPr>
          <w:i/>
        </w:rPr>
        <w:t>instead of</w:t>
      </w:r>
      <w:r>
        <w:tab/>
        <w:t>Thames &amp; Hudson Ltd</w:t>
      </w:r>
    </w:p>
    <w:p w:rsidR="00D80219" w:rsidRDefault="00D80219" w:rsidP="00D80219">
      <w:pPr>
        <w:rPr>
          <w:u w:val="single"/>
        </w:rPr>
      </w:pPr>
    </w:p>
    <w:p w:rsidR="00F63DA2" w:rsidRDefault="00F63DA2" w:rsidP="00EC48EF">
      <w:r w:rsidRPr="00F63DA2">
        <w:rPr>
          <w:u w:val="single"/>
        </w:rPr>
        <w:t>Place of Publication</w:t>
      </w:r>
      <w:r>
        <w:t>:</w:t>
      </w:r>
    </w:p>
    <w:p w:rsidR="00F63DA2" w:rsidRDefault="00F63DA2" w:rsidP="00EC48EF">
      <w:r>
        <w:t>“Where two or more cities are given (“</w:t>
      </w:r>
      <w:smartTag w:uri="urn:schemas-microsoft-com:office:smarttags" w:element="City">
        <w:r>
          <w:t>Chicago</w:t>
        </w:r>
      </w:smartTag>
      <w:r>
        <w:t xml:space="preserve"> and </w:t>
      </w:r>
      <w:smartTag w:uri="urn:schemas-microsoft-com:office:smarttags" w:element="place">
        <w:smartTag w:uri="urn:schemas-microsoft-com:office:smarttags" w:element="City">
          <w:r>
            <w:t>London</w:t>
          </w:r>
        </w:smartTag>
      </w:smartTag>
      <w:r>
        <w:t xml:space="preserve">,” for example), include only the first.  If the city of publication might be unknown to </w:t>
      </w:r>
      <w:r w:rsidR="007D1832">
        <w:t xml:space="preserve">the </w:t>
      </w:r>
      <w:r>
        <w:t>reader or confused with another city of the same name, add the abbreviation of the state, province, or (if necessary) country.  When the publisher’s name includes the state name, no state abbreviation is needed.”</w:t>
      </w:r>
      <w:r>
        <w:rPr>
          <w:rStyle w:val="FootnoteReference"/>
        </w:rPr>
        <w:footnoteReference w:id="14"/>
      </w:r>
    </w:p>
    <w:p w:rsidR="00F63DA2" w:rsidRDefault="00F63DA2" w:rsidP="00EC48EF"/>
    <w:p w:rsidR="00374AB9" w:rsidRDefault="00374AB9" w:rsidP="00EC48EF">
      <w:smartTag w:uri="urn:schemas-microsoft-com:office:smarttags" w:element="City">
        <w:r>
          <w:t>Baltimore</w:t>
        </w:r>
      </w:smartTag>
      <w:r>
        <w:t xml:space="preserve">: </w:t>
      </w:r>
      <w:smartTag w:uri="urn:schemas-microsoft-com:office:smarttags" w:element="place">
        <w:smartTag w:uri="urn:schemas-microsoft-com:office:smarttags" w:element="PlaceName">
          <w:r>
            <w:t>Johns</w:t>
          </w:r>
        </w:smartTag>
        <w:r>
          <w:t xml:space="preserve"> </w:t>
        </w:r>
        <w:smartTag w:uri="urn:schemas-microsoft-com:office:smarttags" w:element="PlaceName">
          <w:r>
            <w:t>Hopkins</w:t>
          </w:r>
        </w:smartTag>
        <w:r>
          <w:t xml:space="preserve"> </w:t>
        </w:r>
        <w:smartTag w:uri="urn:schemas-microsoft-com:office:smarttags" w:element="PlaceType">
          <w:r>
            <w:t>University</w:t>
          </w:r>
        </w:smartTag>
      </w:smartTag>
      <w:r>
        <w:t xml:space="preserve"> Press</w:t>
      </w:r>
    </w:p>
    <w:p w:rsidR="00374AB9" w:rsidRDefault="00374AB9" w:rsidP="00EC48EF">
      <w:smartTag w:uri="urn:schemas-microsoft-com:office:smarttags" w:element="City">
        <w:r>
          <w:t>Chicago</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xml:space="preserve"> Press</w:t>
      </w:r>
    </w:p>
    <w:p w:rsidR="00596572" w:rsidRDefault="00BF3DD5" w:rsidP="00EC48EF">
      <w:smartTag w:uri="urn:schemas-microsoft-com:office:smarttags" w:element="State">
        <w:r>
          <w:t>New York</w:t>
        </w:r>
      </w:smartTag>
      <w:r w:rsidR="00596572">
        <w:t xml:space="preserve">: </w:t>
      </w:r>
      <w:smartTag w:uri="urn:schemas-microsoft-com:office:smarttags" w:element="City">
        <w:r w:rsidR="00596572">
          <w:t>Oxford</w:t>
        </w:r>
      </w:smartTag>
      <w:r w:rsidR="00596572">
        <w:t xml:space="preserve"> University Press</w:t>
      </w:r>
      <w:r w:rsidR="00153388">
        <w:t xml:space="preserve"> (M</w:t>
      </w:r>
      <w:r w:rsidR="004A0397">
        <w:t xml:space="preserve">ost OUP books </w:t>
      </w:r>
      <w:r w:rsidR="00153388">
        <w:t xml:space="preserve">now list </w:t>
      </w:r>
      <w:smartTag w:uri="urn:schemas-microsoft-com:office:smarttags" w:element="State">
        <w:r w:rsidR="004A0397">
          <w:t>New York</w:t>
        </w:r>
      </w:smartTag>
      <w:r w:rsidR="004A0397">
        <w:t xml:space="preserve"> before </w:t>
      </w:r>
      <w:smartTag w:uri="urn:schemas-microsoft-com:office:smarttags" w:element="City">
        <w:smartTag w:uri="urn:schemas-microsoft-com:office:smarttags" w:element="place">
          <w:r w:rsidR="004A0397">
            <w:t>Oxford</w:t>
          </w:r>
        </w:smartTag>
      </w:smartTag>
      <w:r w:rsidR="00153388">
        <w:t>.</w:t>
      </w:r>
      <w:r w:rsidR="004A0397">
        <w:t>)</w:t>
      </w:r>
    </w:p>
    <w:p w:rsidR="00596572" w:rsidRDefault="00596572" w:rsidP="00EC48EF">
      <w:smartTag w:uri="urn:schemas-microsoft-com:office:smarttags" w:element="place">
        <w:smartTag w:uri="urn:schemas-microsoft-com:office:smarttags" w:element="City">
          <w:r>
            <w:t>London</w:t>
          </w:r>
        </w:smartTag>
      </w:smartTag>
      <w:r>
        <w:t xml:space="preserve">: </w:t>
      </w:r>
      <w:proofErr w:type="spellStart"/>
      <w:r>
        <w:t>Routledge</w:t>
      </w:r>
      <w:proofErr w:type="spellEnd"/>
    </w:p>
    <w:p w:rsidR="00F63DA2" w:rsidRDefault="00F63DA2" w:rsidP="00EC48EF">
      <w:proofErr w:type="spellStart"/>
      <w:smartTag w:uri="urn:schemas-microsoft-com:office:smarttags" w:element="place">
        <w:smartTag w:uri="urn:schemas-microsoft-com:office:smarttags" w:element="City">
          <w:r>
            <w:t>Harmondsworth</w:t>
          </w:r>
        </w:smartTag>
        <w:proofErr w:type="spellEnd"/>
        <w:r>
          <w:t xml:space="preserve">, </w:t>
        </w:r>
        <w:smartTag w:uri="urn:schemas-microsoft-com:office:smarttags" w:element="country-region">
          <w:r>
            <w:t>UK</w:t>
          </w:r>
        </w:smartTag>
      </w:smartTag>
      <w:r>
        <w:t>: Penguin Books</w:t>
      </w:r>
    </w:p>
    <w:p w:rsidR="00300430" w:rsidRDefault="00300430" w:rsidP="00EC48EF">
      <w:smartTag w:uri="urn:schemas-microsoft-com:office:smarttags" w:element="place">
        <w:smartTag w:uri="urn:schemas-microsoft-com:office:smarttags" w:element="City">
          <w:r>
            <w:t>Upper Saddle River</w:t>
          </w:r>
        </w:smartTag>
        <w:r>
          <w:t xml:space="preserve">, </w:t>
        </w:r>
        <w:smartTag w:uri="urn:schemas-microsoft-com:office:smarttags" w:element="State">
          <w:r>
            <w:t>NJ</w:t>
          </w:r>
        </w:smartTag>
      </w:smartTag>
      <w:r>
        <w:t>: Prentice Hall</w:t>
      </w:r>
    </w:p>
    <w:p w:rsidR="00B64040" w:rsidRDefault="00B64040" w:rsidP="00EC48EF"/>
    <w:p w:rsidR="00F63DA2" w:rsidRDefault="00F63DA2" w:rsidP="00EC48EF">
      <w:r>
        <w:t>Cambridge, MA</w:t>
      </w:r>
      <w:r w:rsidR="008B5E4D">
        <w:t xml:space="preserve">: </w:t>
      </w:r>
      <w:r>
        <w:t>MIT Press</w:t>
      </w:r>
    </w:p>
    <w:p w:rsidR="00473E5A" w:rsidRDefault="00473E5A" w:rsidP="00EC48EF">
      <w:smartTag w:uri="urn:schemas-microsoft-com:office:smarttags" w:element="City">
        <w:r>
          <w:t>Cambridge</w:t>
        </w:r>
      </w:smartTag>
      <w:r>
        <w:t xml:space="preserve">, </w:t>
      </w:r>
      <w:smartTag w:uri="urn:schemas-microsoft-com:office:smarttags" w:element="State">
        <w:r>
          <w:t>MA</w:t>
        </w:r>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Press</w:t>
      </w:r>
    </w:p>
    <w:p w:rsidR="00BF3DD5" w:rsidRPr="00BF3DD5" w:rsidRDefault="00BF3DD5" w:rsidP="00EC48EF">
      <w:pPr>
        <w:rPr>
          <w:i/>
        </w:rPr>
      </w:pPr>
      <w:proofErr w:type="gramStart"/>
      <w:r w:rsidRPr="00BF3DD5">
        <w:rPr>
          <w:i/>
        </w:rPr>
        <w:t>but</w:t>
      </w:r>
      <w:proofErr w:type="gramEnd"/>
    </w:p>
    <w:p w:rsidR="00F63DA2" w:rsidRDefault="00F63DA2" w:rsidP="00EC48EF">
      <w:smartTag w:uri="urn:schemas-microsoft-com:office:smarttags" w:element="City">
        <w:r>
          <w:t>Cambridge</w:t>
        </w:r>
      </w:smartTag>
      <w:r>
        <w:t xml:space="preserve">: </w:t>
      </w:r>
      <w:smartTag w:uri="urn:schemas-microsoft-com:office:smarttags" w:element="City">
        <w:smartTag w:uri="urn:schemas-microsoft-com:office:smarttags" w:element="place">
          <w:r>
            <w:t>Cambridge</w:t>
          </w:r>
        </w:smartTag>
      </w:smartTag>
      <w:r>
        <w:t xml:space="preserve"> University Press</w:t>
      </w:r>
      <w:r w:rsidR="00BF3DD5">
        <w:t xml:space="preserve"> (exception to the rule)</w:t>
      </w:r>
    </w:p>
    <w:p w:rsidR="00B64040" w:rsidRDefault="00B64040" w:rsidP="00EC48EF"/>
    <w:p w:rsidR="00374AB9" w:rsidRDefault="00374AB9" w:rsidP="00EC48EF">
      <w:r>
        <w:t xml:space="preserve">Chapel Hill: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North Carolina</w:t>
          </w:r>
        </w:smartTag>
      </w:smartTag>
      <w:r>
        <w:t xml:space="preserve"> Press</w:t>
      </w:r>
    </w:p>
    <w:p w:rsidR="00B64040" w:rsidRDefault="00B64040" w:rsidP="00EC48EF">
      <w:smartTag w:uri="urn:schemas-microsoft-com:office:smarttags" w:element="City">
        <w:r>
          <w:t>Princeton</w:t>
        </w:r>
      </w:smartTag>
      <w:r>
        <w:t xml:space="preserve">, </w:t>
      </w:r>
      <w:smartTag w:uri="urn:schemas-microsoft-com:office:smarttags" w:element="State">
        <w:r>
          <w:t>NJ</w:t>
        </w:r>
      </w:smartTag>
      <w:r>
        <w:t xml:space="preserve">: </w:t>
      </w:r>
      <w:smartTag w:uri="urn:schemas-microsoft-com:office:smarttags" w:element="place">
        <w:smartTag w:uri="urn:schemas-microsoft-com:office:smarttags" w:element="PlaceName">
          <w:r>
            <w:t>Princeton</w:t>
          </w:r>
        </w:smartTag>
        <w:r>
          <w:t xml:space="preserve"> </w:t>
        </w:r>
        <w:smartTag w:uri="urn:schemas-microsoft-com:office:smarttags" w:element="PlaceType">
          <w:r>
            <w:t>University</w:t>
          </w:r>
        </w:smartTag>
      </w:smartTag>
      <w:r>
        <w:t xml:space="preserve"> Press</w:t>
      </w:r>
    </w:p>
    <w:p w:rsidR="00BF3DD5" w:rsidRPr="00BF3DD5" w:rsidRDefault="00BF3DD5" w:rsidP="00EC48EF">
      <w:pPr>
        <w:rPr>
          <w:i/>
        </w:rPr>
      </w:pPr>
      <w:proofErr w:type="gramStart"/>
      <w:r w:rsidRPr="00BF3DD5">
        <w:rPr>
          <w:i/>
        </w:rPr>
        <w:t>but</w:t>
      </w:r>
      <w:proofErr w:type="gramEnd"/>
    </w:p>
    <w:p w:rsidR="00BF3DD5" w:rsidRDefault="00BF3DD5" w:rsidP="00BF3DD5">
      <w:smartTag w:uri="urn:schemas-microsoft-com:office:smarttags" w:element="City">
        <w:r>
          <w:t>Berkeley</w:t>
        </w:r>
      </w:smartTag>
      <w:r>
        <w:t xml:space="preserve"> and </w:t>
      </w:r>
      <w:smartTag w:uri="urn:schemas-microsoft-com:office:smarttags" w:element="City">
        <w:r>
          <w:t>Los Angeles</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 Press</w:t>
          </w:r>
        </w:smartTag>
      </w:smartTag>
      <w:r>
        <w:t xml:space="preserve"> (exception to the rule)</w:t>
      </w:r>
    </w:p>
    <w:p w:rsidR="00600D1D" w:rsidRDefault="00600D1D" w:rsidP="00BF3DD5"/>
    <w:p w:rsidR="00D80219" w:rsidRDefault="00D80219" w:rsidP="00D80219">
      <w:r>
        <w:rPr>
          <w:u w:val="single"/>
        </w:rPr>
        <w:t>Dates in Titles</w:t>
      </w:r>
      <w:r>
        <w:t>:</w:t>
      </w:r>
    </w:p>
    <w:p w:rsidR="00D80219" w:rsidRDefault="00D80219" w:rsidP="00D80219">
      <w:r>
        <w:t>“Use a comma to set off dates in a title or subtitle, even if there is no punctuation in the original source.  If the source introduces the dates with a preposition (“from 1920 to 1945”) or a colon, follow the usage in the source.”</w:t>
      </w:r>
      <w:r>
        <w:rPr>
          <w:rStyle w:val="FootnoteReference"/>
        </w:rPr>
        <w:footnoteReference w:id="15"/>
      </w:r>
    </w:p>
    <w:p w:rsidR="000404D5" w:rsidRDefault="000404D5" w:rsidP="00D80219"/>
    <w:p w:rsidR="00B13D78" w:rsidRDefault="00B13D78" w:rsidP="00D80219"/>
    <w:p w:rsidR="00D80219" w:rsidRDefault="00D80219" w:rsidP="00D80219"/>
    <w:p w:rsidR="00D80219" w:rsidRDefault="00D80219" w:rsidP="00D80219">
      <w:pPr>
        <w:jc w:val="center"/>
        <w:rPr>
          <w:b/>
        </w:rPr>
      </w:pPr>
      <w:r w:rsidRPr="009742EB">
        <w:rPr>
          <w:b/>
        </w:rPr>
        <w:lastRenderedPageBreak/>
        <w:t>Example of Proper Usage of Dates in a Title</w:t>
      </w:r>
    </w:p>
    <w:p w:rsidR="00B13D78" w:rsidRPr="009742EB" w:rsidRDefault="00B13D78" w:rsidP="00D80219">
      <w:pPr>
        <w:jc w:val="center"/>
        <w:rPr>
          <w:b/>
        </w:rPr>
      </w:pPr>
    </w:p>
    <w:p w:rsidR="00D80219" w:rsidRPr="009742EB" w:rsidRDefault="00D80219" w:rsidP="00D80219">
      <w:r>
        <w:t xml:space="preserve">Welch, Evelyn. </w:t>
      </w:r>
      <w:r w:rsidRPr="00596572">
        <w:rPr>
          <w:i/>
        </w:rPr>
        <w:t xml:space="preserve">Art and Society in </w:t>
      </w:r>
      <w:smartTag w:uri="urn:schemas-microsoft-com:office:smarttags" w:element="place">
        <w:smartTag w:uri="urn:schemas-microsoft-com:office:smarttags" w:element="country-region">
          <w:r w:rsidRPr="00596572">
            <w:rPr>
              <w:i/>
            </w:rPr>
            <w:t>Italy</w:t>
          </w:r>
        </w:smartTag>
      </w:smartTag>
      <w:r w:rsidRPr="00596572">
        <w:rPr>
          <w:i/>
        </w:rPr>
        <w:t>, 1350-1500</w:t>
      </w:r>
      <w:r>
        <w:t xml:space="preserve">. </w:t>
      </w:r>
      <w:smartTag w:uri="urn:schemas-microsoft-com:office:smarttags" w:element="City">
        <w:r>
          <w:t>Oxford</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 1997.</w:t>
      </w:r>
      <w:r>
        <w:rPr>
          <w:rStyle w:val="FootnoteReference"/>
        </w:rPr>
        <w:footnoteReference w:id="16"/>
      </w:r>
    </w:p>
    <w:p w:rsidR="00D80219" w:rsidRDefault="00D80219" w:rsidP="00D80219">
      <w:pPr>
        <w:rPr>
          <w:u w:val="single"/>
        </w:rPr>
      </w:pPr>
    </w:p>
    <w:p w:rsidR="006566C7" w:rsidRPr="006566C7" w:rsidRDefault="006566C7" w:rsidP="00004F7D">
      <w:r>
        <w:rPr>
          <w:u w:val="single"/>
        </w:rPr>
        <w:t>Edition</w:t>
      </w:r>
      <w:r>
        <w:t>: “If you cite a book published in more than one edition, always indicate which edition you consulted because editions may differ.”</w:t>
      </w:r>
      <w:r>
        <w:rPr>
          <w:rStyle w:val="FootnoteReference"/>
        </w:rPr>
        <w:footnoteReference w:id="17"/>
      </w:r>
    </w:p>
    <w:p w:rsidR="006566C7" w:rsidRDefault="006566C7" w:rsidP="00004F7D"/>
    <w:p w:rsidR="006566C7" w:rsidRDefault="006566C7" w:rsidP="009C0319">
      <w:pPr>
        <w:jc w:val="center"/>
        <w:rPr>
          <w:b/>
        </w:rPr>
      </w:pPr>
      <w:r>
        <w:rPr>
          <w:b/>
        </w:rPr>
        <w:t>Examples of Bibliography Entries and Footnotes Indicating Edition</w:t>
      </w:r>
    </w:p>
    <w:p w:rsidR="00B13D78" w:rsidRPr="009C0319" w:rsidRDefault="00B13D78" w:rsidP="009C0319">
      <w:pPr>
        <w:jc w:val="center"/>
        <w:rPr>
          <w:b/>
        </w:rPr>
      </w:pPr>
    </w:p>
    <w:p w:rsidR="009C0319" w:rsidRDefault="009C0319" w:rsidP="009C0319">
      <w:pPr>
        <w:ind w:left="720" w:hanging="720"/>
      </w:pPr>
      <w:proofErr w:type="spellStart"/>
      <w:r>
        <w:t>Ehrman</w:t>
      </w:r>
      <w:proofErr w:type="spellEnd"/>
      <w:r>
        <w:t xml:space="preserve">, Bart D. </w:t>
      </w:r>
      <w:r>
        <w:rPr>
          <w:i/>
        </w:rPr>
        <w:t>The New Testament: A Historical Introduction to the Early Christian Writings</w:t>
      </w:r>
      <w:r>
        <w:t xml:space="preserve">. 2nd </w:t>
      </w:r>
      <w:proofErr w:type="gramStart"/>
      <w:r>
        <w:t>ed</w:t>
      </w:r>
      <w:proofErr w:type="gramEnd"/>
      <w:r>
        <w:t xml:space="preserve">. </w:t>
      </w:r>
      <w:smartTag w:uri="urn:schemas-microsoft-com:office:smarttags" w:element="State">
        <w:r>
          <w:t>New York</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 2000.</w:t>
      </w:r>
      <w:r w:rsidR="00794EBB">
        <w:rPr>
          <w:rStyle w:val="FootnoteReference"/>
        </w:rPr>
        <w:footnoteReference w:id="18"/>
      </w:r>
    </w:p>
    <w:p w:rsidR="009C0319" w:rsidRDefault="009C0319" w:rsidP="009C0319">
      <w:pPr>
        <w:ind w:left="720" w:hanging="720"/>
      </w:pPr>
    </w:p>
    <w:p w:rsidR="009C0319" w:rsidRDefault="009C0319" w:rsidP="009C0319">
      <w:pPr>
        <w:ind w:left="720" w:hanging="720"/>
      </w:pPr>
      <w:proofErr w:type="spellStart"/>
      <w:r>
        <w:t>Grabar</w:t>
      </w:r>
      <w:proofErr w:type="spellEnd"/>
      <w:r>
        <w:t xml:space="preserve">, Oleg. </w:t>
      </w:r>
      <w:proofErr w:type="gramStart"/>
      <w:r w:rsidRPr="009C0319">
        <w:rPr>
          <w:i/>
        </w:rPr>
        <w:t>The Formation of Islamic Art</w:t>
      </w:r>
      <w:r>
        <w:t>.</w:t>
      </w:r>
      <w:proofErr w:type="gramEnd"/>
      <w:r>
        <w:t xml:space="preserve"> Rev. </w:t>
      </w:r>
      <w:proofErr w:type="gramStart"/>
      <w:r>
        <w:t>ed</w:t>
      </w:r>
      <w:proofErr w:type="gramEnd"/>
      <w:r>
        <w:t xml:space="preserve">. </w:t>
      </w:r>
      <w:smartTag w:uri="urn:schemas-microsoft-com:office:smarttags" w:element="City">
        <w:r>
          <w:t>New Haven</w:t>
        </w:r>
      </w:smartTag>
      <w:r>
        <w:t xml:space="preserve">, </w:t>
      </w:r>
      <w:smartTag w:uri="urn:schemas-microsoft-com:office:smarttags" w:element="State">
        <w:r>
          <w:t>CT</w:t>
        </w:r>
      </w:smartTag>
      <w:r>
        <w:t xml:space="preserve">: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xml:space="preserve"> Press, 1987.</w:t>
      </w:r>
      <w:r w:rsidR="00794EBB">
        <w:rPr>
          <w:rStyle w:val="FootnoteReference"/>
        </w:rPr>
        <w:footnoteReference w:id="19"/>
      </w:r>
    </w:p>
    <w:p w:rsidR="009C0319" w:rsidRDefault="009C0319" w:rsidP="009C0319">
      <w:pPr>
        <w:ind w:left="720" w:hanging="720"/>
      </w:pPr>
    </w:p>
    <w:p w:rsidR="00366FA5" w:rsidRPr="00366FA5" w:rsidRDefault="00366FA5" w:rsidP="00004F7D">
      <w:r>
        <w:rPr>
          <w:u w:val="single"/>
        </w:rPr>
        <w:t>Volume</w:t>
      </w:r>
      <w:r>
        <w:t>: “If a book is part of a multivolume work, include this information in your citations.”</w:t>
      </w:r>
      <w:r>
        <w:rPr>
          <w:rStyle w:val="FootnoteReference"/>
        </w:rPr>
        <w:footnoteReference w:id="20"/>
      </w:r>
    </w:p>
    <w:p w:rsidR="00366FA5" w:rsidRDefault="00366FA5" w:rsidP="00004F7D">
      <w:pPr>
        <w:rPr>
          <w:u w:val="single"/>
        </w:rPr>
      </w:pPr>
    </w:p>
    <w:p w:rsidR="001A5112" w:rsidRDefault="001A5112" w:rsidP="001A5112">
      <w:pPr>
        <w:jc w:val="center"/>
        <w:rPr>
          <w:b/>
        </w:rPr>
      </w:pPr>
      <w:r>
        <w:rPr>
          <w:b/>
        </w:rPr>
        <w:t>Example of a Bibliography Entry and Footnote Indicating Volume</w:t>
      </w:r>
    </w:p>
    <w:p w:rsidR="00B13D78" w:rsidRDefault="00B13D78" w:rsidP="001A5112">
      <w:pPr>
        <w:jc w:val="center"/>
      </w:pPr>
    </w:p>
    <w:p w:rsidR="001A5112" w:rsidRPr="001A5112" w:rsidRDefault="001A5112" w:rsidP="001A5112">
      <w:pPr>
        <w:ind w:left="720" w:hanging="720"/>
      </w:pPr>
      <w:r>
        <w:t xml:space="preserve">Hodgson, Marshall G.S. </w:t>
      </w:r>
      <w:proofErr w:type="gramStart"/>
      <w:r w:rsidRPr="001A5112">
        <w:rPr>
          <w:i/>
        </w:rPr>
        <w:t>The Gunpowder Empires and Modern Times</w:t>
      </w:r>
      <w:r>
        <w:t>.</w:t>
      </w:r>
      <w:proofErr w:type="gramEnd"/>
      <w:r>
        <w:t xml:space="preserve"> Vol. 3 of </w:t>
      </w:r>
      <w:proofErr w:type="gramStart"/>
      <w:r>
        <w:rPr>
          <w:i/>
        </w:rPr>
        <w:t>The</w:t>
      </w:r>
      <w:proofErr w:type="gramEnd"/>
      <w:r>
        <w:rPr>
          <w:i/>
        </w:rPr>
        <w:t xml:space="preserve"> Venture of Islam: Conscience and History in a World Civilization</w:t>
      </w:r>
      <w:r>
        <w:t xml:space="preserve">. </w:t>
      </w:r>
      <w:smartTag w:uri="urn:schemas-microsoft-com:office:smarttags" w:element="City">
        <w:r>
          <w:t>Chicago</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xml:space="preserve"> Press, 1974.</w:t>
      </w:r>
      <w:r>
        <w:rPr>
          <w:rStyle w:val="FootnoteReference"/>
        </w:rPr>
        <w:footnoteReference w:id="21"/>
      </w:r>
    </w:p>
    <w:p w:rsidR="001A5112" w:rsidRDefault="001A5112" w:rsidP="00004F7D">
      <w:pPr>
        <w:rPr>
          <w:u w:val="single"/>
        </w:rPr>
      </w:pPr>
    </w:p>
    <w:p w:rsidR="00004F7D" w:rsidRDefault="00004F7D" w:rsidP="00004F7D">
      <w:r w:rsidRPr="00CB76C3">
        <w:rPr>
          <w:u w:val="single"/>
        </w:rPr>
        <w:t>Referencing Notes in the Main Text</w:t>
      </w:r>
      <w:r>
        <w:t xml:space="preserve">: “Whenever you refer to or otherwise use material from a source, you must insert into your text a </w:t>
      </w:r>
      <w:r w:rsidRPr="009E2C19">
        <w:rPr>
          <w:b/>
        </w:rPr>
        <w:t>superscript number</w:t>
      </w:r>
      <w:r>
        <w:t xml:space="preserve"> that directs your reader to a note that gives bibliographical information about that source.”</w:t>
      </w:r>
      <w:r>
        <w:rPr>
          <w:rStyle w:val="FootnoteReference"/>
        </w:rPr>
        <w:footnoteReference w:id="22"/>
      </w:r>
    </w:p>
    <w:p w:rsidR="000404D5" w:rsidRDefault="000404D5" w:rsidP="00004F7D"/>
    <w:p w:rsidR="009E2C19" w:rsidRDefault="009E2C19">
      <w:r w:rsidRPr="00CB76C3">
        <w:rPr>
          <w:u w:val="single"/>
        </w:rPr>
        <w:t>Formatting Footnotes</w:t>
      </w:r>
      <w:r>
        <w:t>:</w:t>
      </w:r>
    </w:p>
    <w:p w:rsidR="000404D5" w:rsidRDefault="000404D5" w:rsidP="00705289">
      <w:r>
        <w:t>Official Chicago Note Format:</w:t>
      </w:r>
    </w:p>
    <w:p w:rsidR="00633712" w:rsidRDefault="009E2C19" w:rsidP="00705289">
      <w:r>
        <w:t>Indentation: “Notes are indented like other paragraphs in the text; all following lines are flush left.”</w:t>
      </w:r>
      <w:r>
        <w:rPr>
          <w:rStyle w:val="FootnoteReference"/>
        </w:rPr>
        <w:footnoteReference w:id="23"/>
      </w:r>
      <w:r w:rsidR="00705289">
        <w:t xml:space="preserve">  “Indent the first line of each note one-half inch (or five spaces) from the left margin; do </w:t>
      </w:r>
      <w:r w:rsidR="00705289">
        <w:lastRenderedPageBreak/>
        <w:t>not indent additional lines in the note.”</w:t>
      </w:r>
      <w:r w:rsidR="00705289">
        <w:rPr>
          <w:rStyle w:val="FootnoteReference"/>
        </w:rPr>
        <w:footnoteReference w:id="24"/>
      </w:r>
      <w:r w:rsidR="000404D5">
        <w:t xml:space="preserve">  </w:t>
      </w:r>
      <w:r w:rsidR="00633712">
        <w:t>“Begin each note with its reference number, preferably printed not as a superscript but as regular text.  Put a period and a space between the number and the text of the note.”</w:t>
      </w:r>
      <w:r w:rsidR="00633712">
        <w:rPr>
          <w:rStyle w:val="FootnoteReference"/>
        </w:rPr>
        <w:footnoteReference w:id="25"/>
      </w:r>
      <w:r w:rsidR="007A0B92">
        <w:t xml:space="preserve">  </w:t>
      </w:r>
    </w:p>
    <w:p w:rsidR="007A0B92" w:rsidRDefault="007A0B92" w:rsidP="00705289"/>
    <w:p w:rsidR="007A0B92" w:rsidRDefault="000504F4" w:rsidP="00705289">
      <w:r w:rsidRPr="003D37BD">
        <w:rPr>
          <w:b/>
        </w:rPr>
        <w:t>The Lo</w:t>
      </w:r>
      <w:r w:rsidR="000404D5">
        <w:rPr>
          <w:b/>
        </w:rPr>
        <w:t xml:space="preserve">yola AHP permits you to use the default settings for footnotes in Microsoft Word 2007: left-hand margin, </w:t>
      </w:r>
      <w:r w:rsidRPr="00C2669E">
        <w:rPr>
          <w:b/>
        </w:rPr>
        <w:t>superscripts</w:t>
      </w:r>
      <w:r>
        <w:t xml:space="preserve"> </w:t>
      </w:r>
      <w:r w:rsidR="000404D5">
        <w:rPr>
          <w:b/>
        </w:rPr>
        <w:t>for reference numbers, followed by space.</w:t>
      </w:r>
      <w:r w:rsidR="000404D5">
        <w:rPr>
          <w:rStyle w:val="FootnoteReference"/>
          <w:b/>
        </w:rPr>
        <w:footnoteReference w:id="26"/>
      </w:r>
    </w:p>
    <w:p w:rsidR="00D617CD" w:rsidRDefault="00D617CD"/>
    <w:p w:rsidR="0063652C" w:rsidRDefault="0063652C">
      <w:r w:rsidRPr="00B243C5">
        <w:rPr>
          <w:u w:val="single"/>
        </w:rPr>
        <w:t>First and Subsequent Notes for a Source</w:t>
      </w:r>
      <w:r w:rsidR="005E1643" w:rsidRPr="00B243C5">
        <w:rPr>
          <w:u w:val="single"/>
        </w:rPr>
        <w:t xml:space="preserve"> (Shortened Notes)</w:t>
      </w:r>
      <w:r>
        <w:t>:</w:t>
      </w:r>
    </w:p>
    <w:p w:rsidR="0063652C" w:rsidRDefault="0063652C">
      <w:r>
        <w:t>The first time you cite a source, you must provide a complete cita</w:t>
      </w:r>
      <w:r w:rsidR="00E23CEE">
        <w:t>tion in the footnote</w:t>
      </w:r>
      <w:r>
        <w:t xml:space="preserve">s.  </w:t>
      </w:r>
      <w:r w:rsidR="00B6453A">
        <w:t xml:space="preserve">Subsequent notes may be shortened; </w:t>
      </w:r>
      <w:r w:rsidR="00B6453A" w:rsidRPr="006E72C6">
        <w:rPr>
          <w:b/>
        </w:rPr>
        <w:t>the Loyola AHP prefers the author-title shortened note</w:t>
      </w:r>
      <w:r w:rsidR="00B6453A">
        <w:t xml:space="preserve">.  </w:t>
      </w:r>
      <w:r>
        <w:t>“</w:t>
      </w:r>
      <w:r w:rsidRPr="006E72C6">
        <w:t>For subsequent references to a source you have already cited,</w:t>
      </w:r>
      <w:r>
        <w:t xml:space="preserve"> </w:t>
      </w:r>
      <w:r w:rsidRPr="005E1643">
        <w:rPr>
          <w:b/>
        </w:rPr>
        <w:t>you may simply give the author’s last name, a short form of the title, and the page or pages cited</w:t>
      </w:r>
      <w:r>
        <w:t>.  A short form of the title of a</w:t>
      </w:r>
      <w:r w:rsidR="000A0668">
        <w:t xml:space="preserve"> book is italicized; a short for</w:t>
      </w:r>
      <w:r>
        <w:t>m of the title of an article is put in quotation marks.”</w:t>
      </w:r>
      <w:r w:rsidR="005E1643">
        <w:rPr>
          <w:rStyle w:val="FootnoteReference"/>
        </w:rPr>
        <w:footnoteReference w:id="27"/>
      </w:r>
      <w:r>
        <w:t xml:space="preserve">  </w:t>
      </w:r>
      <w:r w:rsidR="005E1643">
        <w:t xml:space="preserve">“The short title contains the key word or words from the main title.  An initial </w:t>
      </w:r>
      <w:proofErr w:type="gramStart"/>
      <w:r w:rsidR="005E1643" w:rsidRPr="005E1643">
        <w:rPr>
          <w:i/>
        </w:rPr>
        <w:t>A</w:t>
      </w:r>
      <w:proofErr w:type="gramEnd"/>
      <w:r w:rsidR="005E1643">
        <w:t xml:space="preserve"> or </w:t>
      </w:r>
      <w:r w:rsidR="005E1643" w:rsidRPr="005E1643">
        <w:rPr>
          <w:i/>
        </w:rPr>
        <w:t>The</w:t>
      </w:r>
      <w:r w:rsidR="005E1643">
        <w:t xml:space="preserve"> is omitted.  Titles of four words or fewer are seldom shortened.”</w:t>
      </w:r>
      <w:r w:rsidR="005E1643">
        <w:rPr>
          <w:rStyle w:val="FootnoteReference"/>
        </w:rPr>
        <w:footnoteReference w:id="28"/>
      </w:r>
    </w:p>
    <w:p w:rsidR="00D617CD" w:rsidRDefault="00D617CD"/>
    <w:p w:rsidR="006E72C6" w:rsidRDefault="0095716D">
      <w:r>
        <w:rPr>
          <w:u w:val="single"/>
        </w:rPr>
        <w:t xml:space="preserve">Use of </w:t>
      </w:r>
      <w:r w:rsidR="006E72C6" w:rsidRPr="00755FC3">
        <w:rPr>
          <w:i/>
          <w:u w:val="single"/>
        </w:rPr>
        <w:t>Ibid</w:t>
      </w:r>
      <w:r>
        <w:rPr>
          <w:u w:val="single"/>
        </w:rPr>
        <w:t>. in Footnotes</w:t>
      </w:r>
      <w:r w:rsidR="006E72C6">
        <w:t>:</w:t>
      </w:r>
    </w:p>
    <w:p w:rsidR="00B243C5" w:rsidRDefault="006E72C6">
      <w:smartTag w:uri="urn:schemas-microsoft-com:office:smarttags" w:element="place">
        <w:smartTag w:uri="urn:schemas-microsoft-com:office:smarttags" w:element="City">
          <w:r>
            <w:t>Chicago</w:t>
          </w:r>
        </w:smartTag>
      </w:smartTag>
      <w:r w:rsidR="00E024C8">
        <w:t xml:space="preserve"> style is distinctive with regard to</w:t>
      </w:r>
      <w:r>
        <w:t xml:space="preserve"> its use </w:t>
      </w:r>
      <w:r w:rsidR="00F279BB">
        <w:t xml:space="preserve">of </w:t>
      </w:r>
      <w:r w:rsidR="00225750">
        <w:t xml:space="preserve">footnotes </w:t>
      </w:r>
      <w:r w:rsidR="00F279BB">
        <w:t>with</w:t>
      </w:r>
      <w:r w:rsidR="00D617CD">
        <w:t xml:space="preserve"> the </w:t>
      </w:r>
      <w:r>
        <w:t xml:space="preserve">abbreviation </w:t>
      </w:r>
      <w:r w:rsidRPr="006E72C6">
        <w:rPr>
          <w:i/>
        </w:rPr>
        <w:t>ibid</w:t>
      </w:r>
      <w:r>
        <w:t xml:space="preserve">.  </w:t>
      </w:r>
      <w:r w:rsidR="00B243C5">
        <w:t xml:space="preserve">Read </w:t>
      </w:r>
      <w:r w:rsidR="00B6453A">
        <w:t xml:space="preserve">pages 155-157 of </w:t>
      </w:r>
      <w:proofErr w:type="spellStart"/>
      <w:r>
        <w:t>Turabian</w:t>
      </w:r>
      <w:proofErr w:type="spellEnd"/>
      <w:r>
        <w:t xml:space="preserve"> for </w:t>
      </w:r>
      <w:r w:rsidR="00F279BB">
        <w:t xml:space="preserve">precise </w:t>
      </w:r>
      <w:r>
        <w:t xml:space="preserve">instructions on how </w:t>
      </w:r>
      <w:r w:rsidR="00F279BB">
        <w:t xml:space="preserve">and when </w:t>
      </w:r>
      <w:r>
        <w:t>to use</w:t>
      </w:r>
      <w:r w:rsidR="00B6453A">
        <w:t xml:space="preserve"> </w:t>
      </w:r>
      <w:proofErr w:type="gramStart"/>
      <w:r w:rsidR="00B6453A" w:rsidRPr="00B6453A">
        <w:rPr>
          <w:i/>
        </w:rPr>
        <w:t>ibid</w:t>
      </w:r>
      <w:r>
        <w:t>.,</w:t>
      </w:r>
      <w:proofErr w:type="gramEnd"/>
      <w:r>
        <w:t xml:space="preserve"> which comes</w:t>
      </w:r>
      <w:r w:rsidR="00B6453A">
        <w:t xml:space="preserve"> from</w:t>
      </w:r>
      <w:r w:rsidR="00D617CD">
        <w:t xml:space="preserve"> the Latin word</w:t>
      </w:r>
      <w:r w:rsidR="00B6453A">
        <w:t xml:space="preserve"> </w:t>
      </w:r>
      <w:proofErr w:type="spellStart"/>
      <w:r w:rsidR="00B6453A" w:rsidRPr="00B6453A">
        <w:rPr>
          <w:i/>
        </w:rPr>
        <w:t>ibidem</w:t>
      </w:r>
      <w:proofErr w:type="spellEnd"/>
      <w:r w:rsidR="00B6453A">
        <w:t xml:space="preserve"> or “in the same place.”</w:t>
      </w:r>
      <w:r w:rsidR="006D5869">
        <w:rPr>
          <w:rStyle w:val="FootnoteReference"/>
        </w:rPr>
        <w:footnoteReference w:id="29"/>
      </w:r>
      <w:r w:rsidR="00901ECF">
        <w:t xml:space="preserve">  When you consult a </w:t>
      </w:r>
      <w:r w:rsidR="008273B7">
        <w:t xml:space="preserve">secondary </w:t>
      </w:r>
      <w:r w:rsidR="00901ECF">
        <w:t xml:space="preserve">source and notice </w:t>
      </w:r>
      <w:r w:rsidR="00901ECF" w:rsidRPr="00901ECF">
        <w:rPr>
          <w:i/>
        </w:rPr>
        <w:t>ibid.</w:t>
      </w:r>
      <w:r w:rsidR="00901ECF">
        <w:t xml:space="preserve"> in the footnotes, you </w:t>
      </w:r>
      <w:r w:rsidR="00073413">
        <w:t xml:space="preserve">will </w:t>
      </w:r>
      <w:r w:rsidR="00901ECF">
        <w:t xml:space="preserve">know immediately that the author is using </w:t>
      </w:r>
      <w:smartTag w:uri="urn:schemas-microsoft-com:office:smarttags" w:element="place">
        <w:smartTag w:uri="urn:schemas-microsoft-com:office:smarttags" w:element="City">
          <w:r w:rsidR="00901ECF">
            <w:t>Chicago</w:t>
          </w:r>
        </w:smartTag>
      </w:smartTag>
      <w:r w:rsidR="00901ECF">
        <w:t xml:space="preserve"> style.</w:t>
      </w:r>
      <w:r w:rsidR="00E67579">
        <w:t xml:space="preserve">  Examples of the proper use of </w:t>
      </w:r>
      <w:r w:rsidR="00E67579" w:rsidRPr="00E67579">
        <w:rPr>
          <w:i/>
        </w:rPr>
        <w:t>ibid.</w:t>
      </w:r>
      <w:r w:rsidR="00E67579">
        <w:t xml:space="preserve"> are provided throughout this handout in the footnote</w:t>
      </w:r>
      <w:r w:rsidR="00367A38">
        <w:t>s</w:t>
      </w:r>
      <w:r w:rsidR="00E67579">
        <w:t>.</w:t>
      </w:r>
    </w:p>
    <w:p w:rsidR="00D80219" w:rsidRDefault="00D80219"/>
    <w:p w:rsidR="00916351" w:rsidRDefault="00916351" w:rsidP="00CB76C3">
      <w:r w:rsidRPr="00CB76C3">
        <w:rPr>
          <w:u w:val="single"/>
        </w:rPr>
        <w:t>Citation of Dictionaries and Encyclopedias</w:t>
      </w:r>
      <w:r w:rsidR="00CB76C3">
        <w:t>:</w:t>
      </w:r>
    </w:p>
    <w:p w:rsidR="00916351" w:rsidRDefault="00916351" w:rsidP="00916351">
      <w:r>
        <w:t>“Well-known reference works, such as major dictionaries and encyclopedias, should usually be cited only in notes…</w:t>
      </w:r>
      <w:r w:rsidR="000F64BA">
        <w:t>Within the note, you may omit the facts of publication, but you must specify the edition (if not the first)…</w:t>
      </w:r>
      <w:r>
        <w:t>Online versions of encyclopedias are regularly updated, so include both the URL and the date you accessed the material.”</w:t>
      </w:r>
      <w:r>
        <w:rPr>
          <w:rStyle w:val="FootnoteReference"/>
        </w:rPr>
        <w:footnoteReference w:id="30"/>
      </w:r>
      <w:r w:rsidR="008D5245">
        <w:t xml:space="preserve">  See the example </w:t>
      </w:r>
      <w:r w:rsidR="00440917">
        <w:t xml:space="preserve">of a dictionary in print </w:t>
      </w:r>
      <w:r w:rsidR="008D5245">
        <w:t>below:</w:t>
      </w:r>
      <w:r w:rsidR="00CA40AD">
        <w:rPr>
          <w:rStyle w:val="FootnoteReference"/>
        </w:rPr>
        <w:footnoteReference w:id="31"/>
      </w:r>
    </w:p>
    <w:p w:rsidR="00916351" w:rsidRDefault="00916351" w:rsidP="00916351"/>
    <w:p w:rsidR="00916351" w:rsidRDefault="00916351" w:rsidP="00916351">
      <w:r>
        <w:lastRenderedPageBreak/>
        <w:t>“Sometimes it may be appropriate to include the author of an entry.”</w:t>
      </w:r>
      <w:r w:rsidR="00E539F8">
        <w:rPr>
          <w:rStyle w:val="FootnoteReference"/>
        </w:rPr>
        <w:footnoteReference w:id="32"/>
      </w:r>
      <w:r w:rsidR="00E539F8">
        <w:t xml:space="preserve">  See the ex</w:t>
      </w:r>
      <w:r w:rsidR="00614D08">
        <w:t xml:space="preserve">ample </w:t>
      </w:r>
      <w:r w:rsidR="00831604">
        <w:t>a citation</w:t>
      </w:r>
      <w:r w:rsidR="00440917">
        <w:t xml:space="preserve"> of </w:t>
      </w:r>
      <w:r w:rsidR="00440917" w:rsidRPr="00440917">
        <w:rPr>
          <w:i/>
        </w:rPr>
        <w:t>The Grove Dictionary of Art</w:t>
      </w:r>
      <w:r w:rsidR="00440917">
        <w:t xml:space="preserve"> </w:t>
      </w:r>
      <w:r w:rsidR="00614D08">
        <w:t>below:</w:t>
      </w:r>
      <w:r w:rsidR="00614D08">
        <w:rPr>
          <w:rStyle w:val="FootnoteReference"/>
        </w:rPr>
        <w:footnoteReference w:id="33"/>
      </w:r>
    </w:p>
    <w:p w:rsidR="00D63A28" w:rsidRDefault="00D63A28" w:rsidP="00916351"/>
    <w:p w:rsidR="00D63A28" w:rsidRDefault="00D63A28" w:rsidP="00916351">
      <w:r w:rsidRPr="00600D1D">
        <w:rPr>
          <w:b/>
        </w:rPr>
        <w:t>Dictionary and encyclopedia entries do not appear in bibliography entries because they are tertiary sources</w:t>
      </w:r>
      <w:r>
        <w:t xml:space="preserve">.  </w:t>
      </w:r>
      <w:proofErr w:type="spellStart"/>
      <w:r>
        <w:t>Turabian</w:t>
      </w:r>
      <w:proofErr w:type="spellEnd"/>
      <w:r>
        <w:t xml:space="preserve"> offers an excellent discussion of the differences between primary, secondary, an</w:t>
      </w:r>
      <w:r w:rsidR="001B165A">
        <w:t>d tertiary sources</w:t>
      </w:r>
      <w:r>
        <w:t>.</w:t>
      </w:r>
      <w:r w:rsidR="001B165A">
        <w:rPr>
          <w:rStyle w:val="FootnoteReference"/>
        </w:rPr>
        <w:footnoteReference w:id="34"/>
      </w:r>
      <w:r w:rsidR="001B165A">
        <w:t xml:space="preserve">  </w:t>
      </w:r>
      <w:proofErr w:type="spellStart"/>
      <w:r w:rsidR="001B165A">
        <w:t>Turabian</w:t>
      </w:r>
      <w:proofErr w:type="spellEnd"/>
      <w:r w:rsidR="001B165A">
        <w:t xml:space="preserve"> is furthermore clear on the value of </w:t>
      </w:r>
      <w:r w:rsidR="001B165A" w:rsidRPr="00981322">
        <w:rPr>
          <w:i/>
        </w:rPr>
        <w:t>Wikipedia</w:t>
      </w:r>
      <w:r w:rsidR="001B165A">
        <w:t xml:space="preserve"> for research: “Never cite it as an authoritative source.”</w:t>
      </w:r>
      <w:r w:rsidR="001B165A">
        <w:rPr>
          <w:rStyle w:val="FootnoteReference"/>
        </w:rPr>
        <w:footnoteReference w:id="35"/>
      </w:r>
    </w:p>
    <w:p w:rsidR="00E0496F" w:rsidRDefault="00E0496F" w:rsidP="00916351"/>
    <w:p w:rsidR="00F37AC8" w:rsidRDefault="00056312" w:rsidP="00916351">
      <w:r w:rsidRPr="00056312">
        <w:rPr>
          <w:u w:val="single"/>
        </w:rPr>
        <w:t>Journal Articles</w:t>
      </w:r>
      <w:r>
        <w:t>:</w:t>
      </w:r>
    </w:p>
    <w:p w:rsidR="00056312" w:rsidRDefault="00056312" w:rsidP="00916351">
      <w:r>
        <w:t xml:space="preserve">Journal Title: “Give the title exactly as it appears on the title page or above the table of contents of the journal; do not use abbreviations, although </w:t>
      </w:r>
      <w:r w:rsidRPr="0052224B">
        <w:rPr>
          <w:b/>
        </w:rPr>
        <w:t xml:space="preserve">you can omit an initial </w:t>
      </w:r>
      <w:r w:rsidRPr="0052224B">
        <w:rPr>
          <w:b/>
          <w:i/>
        </w:rPr>
        <w:t>The</w:t>
      </w:r>
      <w:r w:rsidRPr="0052224B">
        <w:rPr>
          <w:b/>
        </w:rPr>
        <w:t xml:space="preserve"> </w:t>
      </w:r>
      <w:r>
        <w:t>(</w:t>
      </w:r>
      <w:r w:rsidRPr="00056312">
        <w:rPr>
          <w:i/>
        </w:rPr>
        <w:t>Journal of</w:t>
      </w:r>
      <w:r>
        <w:t xml:space="preserve"> </w:t>
      </w:r>
      <w:r w:rsidRPr="00056312">
        <w:rPr>
          <w:i/>
        </w:rPr>
        <w:t>Business</w:t>
      </w:r>
      <w:r>
        <w:t>).</w:t>
      </w:r>
      <w:r w:rsidR="003F3136">
        <w:t>”</w:t>
      </w:r>
      <w:r>
        <w:rPr>
          <w:rStyle w:val="FootnoteReference"/>
        </w:rPr>
        <w:footnoteReference w:id="36"/>
      </w:r>
      <w:r w:rsidR="000865A5">
        <w:t xml:space="preserve">  In the discipline of </w:t>
      </w:r>
      <w:r>
        <w:t xml:space="preserve">art history, </w:t>
      </w:r>
      <w:r w:rsidR="000865A5">
        <w:t>examples of proper</w:t>
      </w:r>
      <w:r>
        <w:t xml:space="preserve"> </w:t>
      </w:r>
      <w:r w:rsidR="000865A5">
        <w:t xml:space="preserve">journal titles in </w:t>
      </w:r>
      <w:r w:rsidR="00755FC3">
        <w:t>bibliography</w:t>
      </w:r>
      <w:r>
        <w:t xml:space="preserve"> entries and footnotes</w:t>
      </w:r>
      <w:r w:rsidR="000865A5">
        <w:t xml:space="preserve"> are</w:t>
      </w:r>
      <w:r>
        <w:t xml:space="preserve"> </w:t>
      </w:r>
      <w:r w:rsidRPr="00056312">
        <w:rPr>
          <w:i/>
        </w:rPr>
        <w:t>Art Bulletin</w:t>
      </w:r>
      <w:r>
        <w:t xml:space="preserve">, </w:t>
      </w:r>
      <w:r w:rsidRPr="00056312">
        <w:rPr>
          <w:i/>
        </w:rPr>
        <w:t>Burlington Magazine</w:t>
      </w:r>
      <w:r>
        <w:t>, etc.</w:t>
      </w:r>
    </w:p>
    <w:p w:rsidR="00705289" w:rsidRDefault="00705289"/>
    <w:p w:rsidR="00114930" w:rsidRDefault="00E5742A">
      <w:r>
        <w:t xml:space="preserve">Volume and Issue Numbers: “The volume number follows the journal title without intervening punctuation and is not italicized.  Use </w:t>
      </w:r>
      <w:proofErr w:type="spellStart"/>
      <w:proofErr w:type="gramStart"/>
      <w:r>
        <w:t>a</w:t>
      </w:r>
      <w:r w:rsidR="005224E5">
        <w:t>rabic</w:t>
      </w:r>
      <w:proofErr w:type="spellEnd"/>
      <w:proofErr w:type="gramEnd"/>
      <w:r w:rsidR="005224E5">
        <w:t xml:space="preserve"> numerals even if the journal itself uses roman numerals.  If there is an issue number, it follows the volume number, separated by a comma and preceded by </w:t>
      </w:r>
      <w:r w:rsidR="005224E5" w:rsidRPr="00114930">
        <w:rPr>
          <w:i/>
        </w:rPr>
        <w:t>no</w:t>
      </w:r>
      <w:r w:rsidR="005224E5">
        <w:t>.</w:t>
      </w:r>
      <w:r w:rsidR="005224E5">
        <w:rPr>
          <w:rStyle w:val="FootnoteReference"/>
        </w:rPr>
        <w:footnoteReference w:id="37"/>
      </w:r>
      <w:r w:rsidR="0095716D">
        <w:t xml:space="preserve"> </w:t>
      </w:r>
      <w:r w:rsidR="00C96D80">
        <w:t xml:space="preserve">If you have difficulty with roman numerals, see Table 23.1 in </w:t>
      </w:r>
      <w:proofErr w:type="spellStart"/>
      <w:r w:rsidR="00C96D80">
        <w:t>Turabian</w:t>
      </w:r>
      <w:proofErr w:type="spellEnd"/>
      <w:r w:rsidR="00C96D80">
        <w:t>.</w:t>
      </w:r>
      <w:r w:rsidR="00C96D80">
        <w:rPr>
          <w:rStyle w:val="FootnoteReference"/>
        </w:rPr>
        <w:footnoteReference w:id="38"/>
      </w:r>
    </w:p>
    <w:p w:rsidR="004D6570" w:rsidRDefault="004D6570"/>
    <w:p w:rsidR="00B13D78" w:rsidRDefault="004D6570">
      <w:r>
        <w:t>Be aware that there is a significant lag time between the publication of journals and their appearanc</w:t>
      </w:r>
      <w:r w:rsidR="004D2B57">
        <w:t xml:space="preserve">es in databases such as JSTOR.  </w:t>
      </w:r>
      <w:r>
        <w:t xml:space="preserve">It is likely that you will need to consult and photocopy recent publications in print. </w:t>
      </w:r>
    </w:p>
    <w:p w:rsidR="00B13D78" w:rsidRDefault="00B13D78"/>
    <w:p w:rsidR="004E57DD" w:rsidRDefault="004D6570">
      <w:r>
        <w:t xml:space="preserve"> </w:t>
      </w:r>
    </w:p>
    <w:p w:rsidR="004E57DD" w:rsidRDefault="004E57DD"/>
    <w:p w:rsidR="00732040" w:rsidRDefault="00732040">
      <w:pPr>
        <w:rPr>
          <w:b/>
        </w:rPr>
      </w:pPr>
      <w:r>
        <w:rPr>
          <w:b/>
        </w:rPr>
        <w:br w:type="page"/>
      </w:r>
    </w:p>
    <w:p w:rsidR="00C4628D" w:rsidRDefault="00A271CA" w:rsidP="00C4628D">
      <w:pPr>
        <w:jc w:val="center"/>
        <w:rPr>
          <w:b/>
        </w:rPr>
      </w:pPr>
      <w:r w:rsidRPr="008300F8">
        <w:rPr>
          <w:b/>
        </w:rPr>
        <w:lastRenderedPageBreak/>
        <w:t xml:space="preserve">Examples of </w:t>
      </w:r>
      <w:r w:rsidR="00372C79">
        <w:rPr>
          <w:b/>
        </w:rPr>
        <w:t>Bibliography</w:t>
      </w:r>
      <w:r w:rsidR="00C96D80" w:rsidRPr="008300F8">
        <w:rPr>
          <w:b/>
        </w:rPr>
        <w:t xml:space="preserve"> Entries and Footnotes</w:t>
      </w:r>
      <w:r w:rsidR="005072B4" w:rsidRPr="008300F8">
        <w:rPr>
          <w:b/>
        </w:rPr>
        <w:t xml:space="preserve"> for</w:t>
      </w:r>
      <w:r w:rsidRPr="008300F8">
        <w:rPr>
          <w:b/>
        </w:rPr>
        <w:t xml:space="preserve"> Journal Articles in Print</w:t>
      </w:r>
    </w:p>
    <w:p w:rsidR="00B13D78" w:rsidRDefault="00B13D78" w:rsidP="00E24326"/>
    <w:p w:rsidR="009206CA" w:rsidRPr="00C4628D" w:rsidRDefault="009206CA" w:rsidP="00E24326">
      <w:pPr>
        <w:rPr>
          <w:b/>
        </w:rPr>
      </w:pPr>
      <w:r>
        <w:t xml:space="preserve">Boynton, Susan. </w:t>
      </w:r>
      <w:proofErr w:type="gramStart"/>
      <w:r>
        <w:t>“Prayer as Liturgical Performance in Eleventh- and Twelfth-Century Psalters.”</w:t>
      </w:r>
      <w:proofErr w:type="gramEnd"/>
    </w:p>
    <w:p w:rsidR="009206CA" w:rsidRDefault="009206CA">
      <w:r>
        <w:tab/>
      </w:r>
      <w:r w:rsidRPr="009206CA">
        <w:rPr>
          <w:i/>
        </w:rPr>
        <w:t>Speculum</w:t>
      </w:r>
      <w:r>
        <w:t xml:space="preserve"> 82, no. 4 (October 2007): 896-931.</w:t>
      </w:r>
      <w:r>
        <w:rPr>
          <w:rStyle w:val="FootnoteReference"/>
        </w:rPr>
        <w:footnoteReference w:id="39"/>
      </w:r>
    </w:p>
    <w:p w:rsidR="009206CA" w:rsidRDefault="009206CA"/>
    <w:p w:rsidR="00E84499" w:rsidRDefault="00E84499">
      <w:proofErr w:type="spellStart"/>
      <w:proofErr w:type="gramStart"/>
      <w:r>
        <w:t>Cernuschi</w:t>
      </w:r>
      <w:proofErr w:type="spellEnd"/>
      <w:r>
        <w:t xml:space="preserve">, Claude, and </w:t>
      </w:r>
      <w:proofErr w:type="spellStart"/>
      <w:r>
        <w:t>Andrzej</w:t>
      </w:r>
      <w:proofErr w:type="spellEnd"/>
      <w:r>
        <w:t xml:space="preserve"> </w:t>
      </w:r>
      <w:proofErr w:type="spellStart"/>
      <w:r>
        <w:t>Herczynski</w:t>
      </w:r>
      <w:proofErr w:type="spellEnd"/>
      <w:r>
        <w:t>.</w:t>
      </w:r>
      <w:proofErr w:type="gramEnd"/>
      <w:r>
        <w:t xml:space="preserve"> “The Subversion of Gravity in Jackson Pollock’s</w:t>
      </w:r>
    </w:p>
    <w:p w:rsidR="00E84499" w:rsidRDefault="00E84499">
      <w:r>
        <w:tab/>
      </w:r>
      <w:proofErr w:type="gramStart"/>
      <w:r>
        <w:t>Abstractions.”</w:t>
      </w:r>
      <w:proofErr w:type="gramEnd"/>
      <w:r>
        <w:t xml:space="preserve"> </w:t>
      </w:r>
      <w:r w:rsidRPr="009206CA">
        <w:rPr>
          <w:i/>
        </w:rPr>
        <w:t xml:space="preserve">Art Bulletin </w:t>
      </w:r>
      <w:r>
        <w:t>90, no. 4 (December 2008): 616-639.</w:t>
      </w:r>
      <w:r>
        <w:rPr>
          <w:rStyle w:val="FootnoteReference"/>
        </w:rPr>
        <w:footnoteReference w:id="40"/>
      </w:r>
    </w:p>
    <w:p w:rsidR="00E84499" w:rsidRDefault="00E84499"/>
    <w:p w:rsidR="00C96D80" w:rsidRDefault="00DF1A94">
      <w:r>
        <w:t xml:space="preserve">Greenstein, Jack M. </w:t>
      </w:r>
      <w:r w:rsidR="00196F9F">
        <w:t xml:space="preserve">“The Body of Eve in Andrea Pisano’s </w:t>
      </w:r>
      <w:r w:rsidR="00196F9F" w:rsidRPr="00DD55A9">
        <w:rPr>
          <w:i/>
        </w:rPr>
        <w:t>Creation</w:t>
      </w:r>
      <w:r w:rsidR="00196F9F">
        <w:t xml:space="preserve"> Relief.” </w:t>
      </w:r>
      <w:r w:rsidR="00196F9F" w:rsidRPr="009206CA">
        <w:rPr>
          <w:i/>
        </w:rPr>
        <w:t>Art Bulletin</w:t>
      </w:r>
      <w:r w:rsidR="00196F9F">
        <w:t xml:space="preserve"> 90,</w:t>
      </w:r>
    </w:p>
    <w:p w:rsidR="00196F9F" w:rsidRDefault="00196F9F">
      <w:r>
        <w:tab/>
      </w:r>
      <w:proofErr w:type="gramStart"/>
      <w:r>
        <w:t>no</w:t>
      </w:r>
      <w:proofErr w:type="gramEnd"/>
      <w:r w:rsidR="00DD55A9">
        <w:t>. 4 (December 2008): 575-596.</w:t>
      </w:r>
      <w:r w:rsidR="00DD55A9">
        <w:rPr>
          <w:rStyle w:val="FootnoteReference"/>
        </w:rPr>
        <w:footnoteReference w:id="41"/>
      </w:r>
    </w:p>
    <w:p w:rsidR="00F15714" w:rsidRDefault="00F15714"/>
    <w:p w:rsidR="00F15714" w:rsidRDefault="00F15714">
      <w:proofErr w:type="spellStart"/>
      <w:proofErr w:type="gramStart"/>
      <w:r>
        <w:t>Kogman-Appel</w:t>
      </w:r>
      <w:proofErr w:type="spellEnd"/>
      <w:r>
        <w:t xml:space="preserve">, </w:t>
      </w:r>
      <w:proofErr w:type="spellStart"/>
      <w:r>
        <w:t>Katrin</w:t>
      </w:r>
      <w:proofErr w:type="spellEnd"/>
      <w:r>
        <w:t>.</w:t>
      </w:r>
      <w:proofErr w:type="gramEnd"/>
      <w:r>
        <w:t xml:space="preserve"> “Christianity, Idolatry, and the Question of Jewish Figural Painting in </w:t>
      </w:r>
    </w:p>
    <w:p w:rsidR="00F15714" w:rsidRDefault="00F15714">
      <w:r>
        <w:tab/>
      </w:r>
      <w:proofErr w:type="gramStart"/>
      <w:r>
        <w:t>the</w:t>
      </w:r>
      <w:proofErr w:type="gramEnd"/>
      <w:r>
        <w:t xml:space="preserve"> Middle Ages.” </w:t>
      </w:r>
      <w:r w:rsidRPr="00A469DC">
        <w:rPr>
          <w:i/>
        </w:rPr>
        <w:t>Speculum</w:t>
      </w:r>
      <w:r>
        <w:t xml:space="preserve"> 84, no. 1 (January 2009): 73-107.</w:t>
      </w:r>
      <w:r>
        <w:rPr>
          <w:rStyle w:val="FootnoteReference"/>
        </w:rPr>
        <w:footnoteReference w:id="42"/>
      </w:r>
    </w:p>
    <w:p w:rsidR="005072B4" w:rsidRDefault="005072B4"/>
    <w:p w:rsidR="005072B4" w:rsidRDefault="005072B4">
      <w:r w:rsidRPr="00A70EF6">
        <w:rPr>
          <w:u w:val="single"/>
        </w:rPr>
        <w:t>Journal Articles Published Online</w:t>
      </w:r>
      <w:r>
        <w:t>:</w:t>
      </w:r>
    </w:p>
    <w:p w:rsidR="005072B4" w:rsidRDefault="005072B4">
      <w:r>
        <w:t xml:space="preserve">“Online databases of articles generally list all the elements necessary for citations.  Include the </w:t>
      </w:r>
      <w:r w:rsidRPr="00754C88">
        <w:rPr>
          <w:b/>
        </w:rPr>
        <w:t>stable URL listed</w:t>
      </w:r>
      <w:r>
        <w:t>, which also identifies the database in which you consulted the article.”</w:t>
      </w:r>
      <w:r>
        <w:rPr>
          <w:rStyle w:val="FootnoteReference"/>
        </w:rPr>
        <w:footnoteReference w:id="43"/>
      </w:r>
      <w:r w:rsidR="00A70EF6">
        <w:t xml:space="preserve"> In JSTOR, you can find the stable URL under “item information” or “export this citation.”  The stable URL is shorter than the full URL.  </w:t>
      </w:r>
    </w:p>
    <w:p w:rsidR="005072B4" w:rsidRDefault="005072B4"/>
    <w:p w:rsidR="005072B4" w:rsidRDefault="005072B4" w:rsidP="005072B4">
      <w:pPr>
        <w:jc w:val="center"/>
      </w:pPr>
      <w:r w:rsidRPr="008300F8">
        <w:rPr>
          <w:b/>
        </w:rPr>
        <w:t xml:space="preserve">Example of </w:t>
      </w:r>
      <w:r w:rsidR="006D2181" w:rsidRPr="008300F8">
        <w:rPr>
          <w:b/>
        </w:rPr>
        <w:t xml:space="preserve">a </w:t>
      </w:r>
      <w:r w:rsidR="00372C79">
        <w:rPr>
          <w:b/>
        </w:rPr>
        <w:t>Bibliography</w:t>
      </w:r>
      <w:r w:rsidRPr="008300F8">
        <w:rPr>
          <w:b/>
        </w:rPr>
        <w:t xml:space="preserve"> Entry and Footnote for</w:t>
      </w:r>
      <w:r w:rsidR="0019423B" w:rsidRPr="008300F8">
        <w:rPr>
          <w:b/>
        </w:rPr>
        <w:t xml:space="preserve"> a</w:t>
      </w:r>
      <w:r>
        <w:t xml:space="preserve"> </w:t>
      </w:r>
      <w:r w:rsidRPr="001345E2">
        <w:rPr>
          <w:b/>
        </w:rPr>
        <w:t>Journal Article Online</w:t>
      </w:r>
    </w:p>
    <w:p w:rsidR="00B13D78" w:rsidRDefault="00B13D78" w:rsidP="00A469DC"/>
    <w:p w:rsidR="00A469DC" w:rsidRDefault="00A469DC" w:rsidP="00A469DC">
      <w:proofErr w:type="spellStart"/>
      <w:r w:rsidRPr="00A469DC">
        <w:t>Eberlein</w:t>
      </w:r>
      <w:proofErr w:type="spellEnd"/>
      <w:r w:rsidRPr="00A469DC">
        <w:t xml:space="preserve">, Johann </w:t>
      </w:r>
      <w:proofErr w:type="spellStart"/>
      <w:r w:rsidRPr="00A469DC">
        <w:t>Konrad</w:t>
      </w:r>
      <w:proofErr w:type="spellEnd"/>
      <w:r w:rsidRPr="00A469DC">
        <w:t xml:space="preserve">. </w:t>
      </w:r>
      <w:proofErr w:type="gramStart"/>
      <w:r>
        <w:t>“</w:t>
      </w:r>
      <w:r w:rsidRPr="00A469DC">
        <w:t xml:space="preserve">The Curtain in Raphael’s </w:t>
      </w:r>
      <w:r w:rsidRPr="00A469DC">
        <w:rPr>
          <w:i/>
        </w:rPr>
        <w:t>Sistine Madonna</w:t>
      </w:r>
      <w:r w:rsidRPr="00A469DC">
        <w:t>.</w:t>
      </w:r>
      <w:r>
        <w:t>”</w:t>
      </w:r>
      <w:proofErr w:type="gramEnd"/>
      <w:r>
        <w:t xml:space="preserve"> </w:t>
      </w:r>
      <w:r w:rsidRPr="00754C88">
        <w:rPr>
          <w:i/>
        </w:rPr>
        <w:t>Art Bulletin</w:t>
      </w:r>
      <w:r>
        <w:t xml:space="preserve"> 65, no. 1</w:t>
      </w:r>
    </w:p>
    <w:p w:rsidR="00263A7B" w:rsidRDefault="00A469DC">
      <w:r>
        <w:tab/>
        <w:t>(March 1983): 61-77</w:t>
      </w:r>
      <w:r w:rsidR="00754C88">
        <w:t xml:space="preserve">. </w:t>
      </w:r>
      <w:hyperlink r:id="rId7" w:history="1">
        <w:r w:rsidR="00754C88" w:rsidRPr="003A6EF0">
          <w:rPr>
            <w:rStyle w:val="Hyperlink"/>
            <w:color w:val="auto"/>
            <w:u w:val="none"/>
          </w:rPr>
          <w:t>http://www.jstor.org/stable/3050299</w:t>
        </w:r>
      </w:hyperlink>
      <w:r w:rsidR="00754C88" w:rsidRPr="003A6EF0">
        <w:t xml:space="preserve"> </w:t>
      </w:r>
      <w:r w:rsidR="00754C88">
        <w:t>(accessed May 1, 2009).</w:t>
      </w:r>
      <w:r w:rsidR="00754C88">
        <w:rPr>
          <w:rStyle w:val="FootnoteReference"/>
        </w:rPr>
        <w:footnoteReference w:id="44"/>
      </w:r>
    </w:p>
    <w:p w:rsidR="009C0319" w:rsidRDefault="009C0319" w:rsidP="00B127D7">
      <w:pPr>
        <w:jc w:val="center"/>
      </w:pPr>
    </w:p>
    <w:p w:rsidR="00B13D78" w:rsidRDefault="00B13D78" w:rsidP="00B127D7">
      <w:pPr>
        <w:jc w:val="center"/>
      </w:pPr>
    </w:p>
    <w:p w:rsidR="00B13D78" w:rsidRDefault="00B13D78" w:rsidP="00B127D7">
      <w:pPr>
        <w:jc w:val="center"/>
      </w:pPr>
    </w:p>
    <w:p w:rsidR="00B13D78" w:rsidRDefault="00B13D78" w:rsidP="00B127D7">
      <w:pPr>
        <w:jc w:val="center"/>
      </w:pPr>
    </w:p>
    <w:p w:rsidR="00B13D78" w:rsidRDefault="00B13D78" w:rsidP="00B127D7">
      <w:pPr>
        <w:jc w:val="center"/>
      </w:pPr>
    </w:p>
    <w:p w:rsidR="00B13D78" w:rsidRDefault="00B13D78" w:rsidP="00B127D7">
      <w:pPr>
        <w:jc w:val="center"/>
      </w:pPr>
    </w:p>
    <w:p w:rsidR="00732040" w:rsidRDefault="00732040">
      <w:r>
        <w:br w:type="page"/>
      </w:r>
    </w:p>
    <w:p w:rsidR="00732040" w:rsidRDefault="00732040">
      <w:pPr>
        <w:rPr>
          <w:b/>
        </w:rPr>
      </w:pPr>
    </w:p>
    <w:p w:rsidR="00B127D7" w:rsidRPr="003D10D7" w:rsidRDefault="00135D58" w:rsidP="00B127D7">
      <w:pPr>
        <w:jc w:val="center"/>
        <w:rPr>
          <w:b/>
        </w:rPr>
      </w:pPr>
      <w:r w:rsidRPr="003D10D7">
        <w:rPr>
          <w:b/>
        </w:rPr>
        <w:t xml:space="preserve">Sample </w:t>
      </w:r>
      <w:r w:rsidR="003D10D7">
        <w:rPr>
          <w:b/>
        </w:rPr>
        <w:t xml:space="preserve">Chicago Style </w:t>
      </w:r>
      <w:r w:rsidRPr="003D10D7">
        <w:rPr>
          <w:b/>
        </w:rPr>
        <w:t>Bibliography</w:t>
      </w:r>
      <w:r w:rsidR="003D10D7" w:rsidRPr="003D10D7">
        <w:rPr>
          <w:b/>
        </w:rPr>
        <w:t xml:space="preserve"> for the Loyola AHP</w:t>
      </w:r>
    </w:p>
    <w:p w:rsidR="00135D58" w:rsidRDefault="00135D58" w:rsidP="00B127D7">
      <w:pPr>
        <w:jc w:val="center"/>
      </w:pPr>
    </w:p>
    <w:p w:rsidR="00135D58" w:rsidRDefault="00135D58" w:rsidP="00135D58">
      <w:pPr>
        <w:ind w:left="720" w:hanging="720"/>
      </w:pPr>
      <w:proofErr w:type="spellStart"/>
      <w:r>
        <w:t>Barkan</w:t>
      </w:r>
      <w:proofErr w:type="spellEnd"/>
      <w:r>
        <w:t xml:space="preserve">, Leonard. </w:t>
      </w:r>
      <w:proofErr w:type="gramStart"/>
      <w:r>
        <w:rPr>
          <w:i/>
        </w:rPr>
        <w:t>Unearthing the Past: Archaeology and Aesthetics in the Making of Renaissance Culture</w:t>
      </w:r>
      <w:r>
        <w:t>.</w:t>
      </w:r>
      <w:proofErr w:type="gramEnd"/>
      <w:r>
        <w:t xml:space="preserve"> </w:t>
      </w:r>
      <w:smartTag w:uri="urn:schemas-microsoft-com:office:smarttags" w:element="City">
        <w:r>
          <w:t>New Haven</w:t>
        </w:r>
      </w:smartTag>
      <w:r>
        <w:t xml:space="preserve">, </w:t>
      </w:r>
      <w:smartTag w:uri="urn:schemas-microsoft-com:office:smarttags" w:element="State">
        <w:r>
          <w:t>CT</w:t>
        </w:r>
      </w:smartTag>
      <w:r>
        <w:t xml:space="preserve">: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xml:space="preserve"> Press, 1999.</w:t>
      </w:r>
    </w:p>
    <w:p w:rsidR="009B45D5" w:rsidRDefault="009B45D5" w:rsidP="009B45D5">
      <w:pPr>
        <w:ind w:left="720" w:hanging="720"/>
      </w:pPr>
    </w:p>
    <w:p w:rsidR="009B45D5" w:rsidRDefault="009B45D5" w:rsidP="009B45D5">
      <w:pPr>
        <w:ind w:left="720" w:hanging="720"/>
      </w:pPr>
      <w:proofErr w:type="spellStart"/>
      <w:r>
        <w:t>Chave</w:t>
      </w:r>
      <w:proofErr w:type="spellEnd"/>
      <w:r>
        <w:t xml:space="preserve">, Anna C. “Minimalism and Biography.” </w:t>
      </w:r>
      <w:proofErr w:type="gramStart"/>
      <w:r>
        <w:t xml:space="preserve">In </w:t>
      </w:r>
      <w:r w:rsidRPr="00F37032">
        <w:rPr>
          <w:i/>
        </w:rPr>
        <w:t>Reclaiming Female Agency: Feminist Art</w:t>
      </w:r>
      <w:r>
        <w:rPr>
          <w:i/>
        </w:rPr>
        <w:t xml:space="preserve"> History after Postmodernism</w:t>
      </w:r>
      <w:r>
        <w:t xml:space="preserve">, edited by Norma </w:t>
      </w:r>
      <w:proofErr w:type="spellStart"/>
      <w:r>
        <w:t>Broude</w:t>
      </w:r>
      <w:proofErr w:type="spellEnd"/>
      <w:r>
        <w:t xml:space="preserve"> and Mary D. Garrard, 385-407.</w:t>
      </w:r>
      <w:proofErr w:type="gramEnd"/>
      <w:r>
        <w:t xml:space="preserve"> </w:t>
      </w:r>
      <w:smartTag w:uri="urn:schemas-microsoft-com:office:smarttags" w:element="City">
        <w:r>
          <w:t>Berkeley</w:t>
        </w:r>
      </w:smartTag>
      <w:r>
        <w:t xml:space="preserve"> and </w:t>
      </w:r>
      <w:smartTag w:uri="urn:schemas-microsoft-com:office:smarttags" w:element="City">
        <w:r>
          <w:t>Los Angeles</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xml:space="preserve"> Press, 2005.</w:t>
      </w:r>
    </w:p>
    <w:p w:rsidR="009B45D5" w:rsidRDefault="009B45D5" w:rsidP="009B45D5">
      <w:pPr>
        <w:ind w:left="720" w:hanging="720"/>
      </w:pPr>
    </w:p>
    <w:p w:rsidR="00AB2287" w:rsidRDefault="00AB2287" w:rsidP="00135D58">
      <w:pPr>
        <w:ind w:left="720" w:hanging="720"/>
      </w:pPr>
      <w:r>
        <w:t xml:space="preserve">Cooper, Kate. </w:t>
      </w:r>
      <w:r>
        <w:rPr>
          <w:i/>
        </w:rPr>
        <w:t>The Virgin and the Bride: Idealized Womanhood in Late Antiquity</w:t>
      </w:r>
      <w:r>
        <w:t xml:space="preserve">. </w:t>
      </w:r>
      <w:smartTag w:uri="urn:schemas-microsoft-com:office:smarttags" w:element="City">
        <w:r>
          <w:t>Cambridge</w:t>
        </w:r>
      </w:smartTag>
      <w:r>
        <w:t xml:space="preserve">, </w:t>
      </w:r>
      <w:smartTag w:uri="urn:schemas-microsoft-com:office:smarttags" w:element="State">
        <w:r>
          <w:t>MA</w:t>
        </w:r>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Press, 1996.</w:t>
      </w:r>
    </w:p>
    <w:p w:rsidR="00F63638" w:rsidRDefault="00F63638" w:rsidP="00135D58">
      <w:pPr>
        <w:ind w:left="720" w:hanging="720"/>
      </w:pPr>
    </w:p>
    <w:p w:rsidR="008040DF" w:rsidRDefault="00F63638" w:rsidP="00211837">
      <w:pPr>
        <w:ind w:left="720" w:hanging="720"/>
      </w:pPr>
      <w:r>
        <w:t xml:space="preserve">Corrigan, Kathleen. </w:t>
      </w:r>
      <w:proofErr w:type="gramStart"/>
      <w:r>
        <w:t xml:space="preserve">“Text and Image on an Icon of the Crucifixion at </w:t>
      </w:r>
      <w:smartTag w:uri="urn:schemas-microsoft-com:office:smarttags" w:element="place">
        <w:r>
          <w:t>Mount Sinai</w:t>
        </w:r>
      </w:smartTag>
      <w:r>
        <w:t>.”</w:t>
      </w:r>
      <w:proofErr w:type="gramEnd"/>
      <w:r>
        <w:t xml:space="preserve"> </w:t>
      </w:r>
      <w:proofErr w:type="gramStart"/>
      <w:r>
        <w:t xml:space="preserve">In </w:t>
      </w:r>
      <w:r>
        <w:rPr>
          <w:i/>
        </w:rPr>
        <w:t>The Sacred Image East and West</w:t>
      </w:r>
      <w:r>
        <w:t xml:space="preserve">, edited by Robert </w:t>
      </w:r>
      <w:proofErr w:type="spellStart"/>
      <w:r>
        <w:t>Ousterhout</w:t>
      </w:r>
      <w:proofErr w:type="spellEnd"/>
      <w:r>
        <w:t xml:space="preserve"> and Leslie Brubaker, 45-62.</w:t>
      </w:r>
      <w:proofErr w:type="gramEnd"/>
      <w:r>
        <w:t xml:space="preserve"> </w:t>
      </w:r>
      <w:smartTag w:uri="urn:schemas-microsoft-com:office:smarttags" w:element="City">
        <w:r>
          <w:t>Urbana</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Illinois</w:t>
          </w:r>
        </w:smartTag>
      </w:smartTag>
      <w:r>
        <w:t xml:space="preserve"> Press, 1995.</w:t>
      </w:r>
    </w:p>
    <w:p w:rsidR="008040DF" w:rsidRDefault="008040DF" w:rsidP="008040DF"/>
    <w:p w:rsidR="00F63638" w:rsidRDefault="008040DF" w:rsidP="008040DF">
      <w:pPr>
        <w:ind w:left="720" w:hanging="720"/>
      </w:pPr>
      <w:proofErr w:type="spellStart"/>
      <w:r w:rsidRPr="00A469DC">
        <w:t>Eberlein</w:t>
      </w:r>
      <w:proofErr w:type="spellEnd"/>
      <w:r w:rsidRPr="00A469DC">
        <w:t xml:space="preserve">, Johann </w:t>
      </w:r>
      <w:proofErr w:type="spellStart"/>
      <w:r w:rsidRPr="00A469DC">
        <w:t>Konrad</w:t>
      </w:r>
      <w:proofErr w:type="spellEnd"/>
      <w:r w:rsidRPr="00A469DC">
        <w:t xml:space="preserve">. </w:t>
      </w:r>
      <w:proofErr w:type="gramStart"/>
      <w:r>
        <w:t>“</w:t>
      </w:r>
      <w:r w:rsidRPr="00A469DC">
        <w:t xml:space="preserve">The Curtain in Raphael’s </w:t>
      </w:r>
      <w:r w:rsidRPr="00A469DC">
        <w:rPr>
          <w:i/>
        </w:rPr>
        <w:t>Sistine Madonna</w:t>
      </w:r>
      <w:r w:rsidRPr="00A469DC">
        <w:t>.</w:t>
      </w:r>
      <w:r>
        <w:t>”</w:t>
      </w:r>
      <w:proofErr w:type="gramEnd"/>
      <w:r>
        <w:t xml:space="preserve"> </w:t>
      </w:r>
      <w:r w:rsidRPr="00754C88">
        <w:rPr>
          <w:i/>
        </w:rPr>
        <w:t>Art Bulletin</w:t>
      </w:r>
      <w:r w:rsidR="00B140CD">
        <w:t xml:space="preserve"> 65, no. 1 (March 1983): 61-77</w:t>
      </w:r>
      <w:r>
        <w:t xml:space="preserve">. </w:t>
      </w:r>
      <w:hyperlink r:id="rId8" w:history="1">
        <w:r w:rsidRPr="003A6EF0">
          <w:rPr>
            <w:rStyle w:val="Hyperlink"/>
            <w:color w:val="auto"/>
            <w:u w:val="none"/>
          </w:rPr>
          <w:t>http://www.jstor.org/stable/3050299</w:t>
        </w:r>
      </w:hyperlink>
      <w:r w:rsidRPr="003A6EF0">
        <w:t xml:space="preserve"> </w:t>
      </w:r>
      <w:r>
        <w:t>(accessed May 1, 2009)</w:t>
      </w:r>
      <w:r w:rsidR="003D10D7">
        <w:t>.</w:t>
      </w:r>
    </w:p>
    <w:p w:rsidR="00305480" w:rsidRDefault="00305480" w:rsidP="00135D58">
      <w:pPr>
        <w:ind w:left="720" w:hanging="720"/>
      </w:pPr>
    </w:p>
    <w:p w:rsidR="00305480" w:rsidRDefault="00305480" w:rsidP="00135D58">
      <w:pPr>
        <w:ind w:left="720" w:hanging="720"/>
      </w:pPr>
      <w:r>
        <w:t xml:space="preserve">Eco, Umberto. </w:t>
      </w:r>
      <w:r w:rsidRPr="00EF64D5">
        <w:rPr>
          <w:i/>
        </w:rPr>
        <w:t xml:space="preserve">Art and Beauty in the </w:t>
      </w:r>
      <w:proofErr w:type="gramStart"/>
      <w:r w:rsidRPr="00EF64D5">
        <w:rPr>
          <w:i/>
        </w:rPr>
        <w:t>Middle</w:t>
      </w:r>
      <w:proofErr w:type="gramEnd"/>
      <w:r w:rsidRPr="00EF64D5">
        <w:rPr>
          <w:i/>
        </w:rPr>
        <w:t xml:space="preserve"> Ages</w:t>
      </w:r>
      <w:r>
        <w:t xml:space="preserve">. </w:t>
      </w:r>
      <w:proofErr w:type="gramStart"/>
      <w:r w:rsidR="00EF64D5">
        <w:t xml:space="preserve">Translated by Hugh </w:t>
      </w:r>
      <w:proofErr w:type="spellStart"/>
      <w:r w:rsidR="00EF64D5">
        <w:t>Bredin</w:t>
      </w:r>
      <w:proofErr w:type="spellEnd"/>
      <w:r w:rsidR="00EF64D5">
        <w:t>.</w:t>
      </w:r>
      <w:proofErr w:type="gramEnd"/>
      <w:r w:rsidR="00EF64D5">
        <w:t xml:space="preserve"> </w:t>
      </w:r>
      <w:smartTag w:uri="urn:schemas-microsoft-com:office:smarttags" w:element="City">
        <w:r w:rsidR="00EF64D5">
          <w:t>New Haven</w:t>
        </w:r>
      </w:smartTag>
      <w:r w:rsidR="00EF64D5">
        <w:t xml:space="preserve">, </w:t>
      </w:r>
      <w:smartTag w:uri="urn:schemas-microsoft-com:office:smarttags" w:element="State">
        <w:r w:rsidR="00EF64D5">
          <w:t>CT</w:t>
        </w:r>
      </w:smartTag>
      <w:r w:rsidR="00EF64D5">
        <w:t xml:space="preserve">: </w:t>
      </w:r>
      <w:smartTag w:uri="urn:schemas-microsoft-com:office:smarttags" w:element="place">
        <w:smartTag w:uri="urn:schemas-microsoft-com:office:smarttags" w:element="PlaceName">
          <w:r w:rsidR="00EF64D5">
            <w:t>Yale</w:t>
          </w:r>
        </w:smartTag>
        <w:r w:rsidR="00EF64D5">
          <w:t xml:space="preserve"> </w:t>
        </w:r>
        <w:smartTag w:uri="urn:schemas-microsoft-com:office:smarttags" w:element="PlaceType">
          <w:r w:rsidR="00EF64D5">
            <w:t>University</w:t>
          </w:r>
        </w:smartTag>
      </w:smartTag>
      <w:r w:rsidR="00EF64D5">
        <w:t xml:space="preserve"> Press, 1986.</w:t>
      </w:r>
    </w:p>
    <w:p w:rsidR="00F344D2" w:rsidRDefault="00F344D2" w:rsidP="00135D58">
      <w:pPr>
        <w:ind w:left="720" w:hanging="720"/>
      </w:pPr>
    </w:p>
    <w:p w:rsidR="00F344D2" w:rsidRDefault="00F344D2" w:rsidP="00135D58">
      <w:pPr>
        <w:ind w:left="720" w:hanging="720"/>
      </w:pPr>
      <w:r>
        <w:t xml:space="preserve">———. </w:t>
      </w:r>
      <w:r w:rsidRPr="00F344D2">
        <w:rPr>
          <w:i/>
        </w:rPr>
        <w:t>Kant and the Platypus: Essays on Language and Cognition</w:t>
      </w:r>
      <w:r>
        <w:t xml:space="preserve">. </w:t>
      </w:r>
      <w:proofErr w:type="gramStart"/>
      <w:r>
        <w:t>Translated by Alastair McEwen.</w:t>
      </w:r>
      <w:proofErr w:type="gramEnd"/>
      <w:r>
        <w:t xml:space="preserve"> </w:t>
      </w:r>
      <w:smartTag w:uri="urn:schemas-microsoft-com:office:smarttags" w:element="City">
        <w:smartTag w:uri="urn:schemas-microsoft-com:office:smarttags" w:element="place">
          <w:r>
            <w:t>London</w:t>
          </w:r>
        </w:smartTag>
      </w:smartTag>
      <w:r>
        <w:t>: Secker &amp; Warburg, 1999.</w:t>
      </w:r>
    </w:p>
    <w:p w:rsidR="00F344D2" w:rsidRDefault="00F344D2" w:rsidP="00135D58">
      <w:pPr>
        <w:ind w:left="720" w:hanging="720"/>
      </w:pPr>
    </w:p>
    <w:p w:rsidR="00F344D2" w:rsidRPr="00F63638" w:rsidRDefault="00F344D2" w:rsidP="00135D58">
      <w:pPr>
        <w:ind w:left="720" w:hanging="720"/>
      </w:pPr>
      <w:r>
        <w:t xml:space="preserve">———. </w:t>
      </w:r>
      <w:proofErr w:type="gramStart"/>
      <w:r w:rsidRPr="00F344D2">
        <w:rPr>
          <w:i/>
        </w:rPr>
        <w:t>The Name of the Rose</w:t>
      </w:r>
      <w:r>
        <w:t>.</w:t>
      </w:r>
      <w:proofErr w:type="gramEnd"/>
      <w:r>
        <w:t xml:space="preserve"> </w:t>
      </w:r>
      <w:proofErr w:type="gramStart"/>
      <w:r>
        <w:t>Translated by William Weaver.</w:t>
      </w:r>
      <w:proofErr w:type="gramEnd"/>
      <w:r>
        <w:t xml:space="preserve"> </w:t>
      </w:r>
      <w:smartTag w:uri="urn:schemas-microsoft-com:office:smarttags" w:element="City">
        <w:smartTag w:uri="urn:schemas-microsoft-com:office:smarttags" w:element="place">
          <w:r>
            <w:t>San Diego</w:t>
          </w:r>
        </w:smartTag>
      </w:smartTag>
      <w:r>
        <w:t>: Harcourt Brace, 1994.</w:t>
      </w:r>
    </w:p>
    <w:p w:rsidR="00135D58" w:rsidRDefault="00135D58" w:rsidP="00135D58">
      <w:pPr>
        <w:ind w:left="720" w:hanging="720"/>
      </w:pPr>
    </w:p>
    <w:p w:rsidR="00135D58" w:rsidRDefault="00135D58" w:rsidP="00135D58">
      <w:pPr>
        <w:ind w:left="720" w:hanging="720"/>
      </w:pPr>
      <w:proofErr w:type="spellStart"/>
      <w:r>
        <w:t>Ehrman</w:t>
      </w:r>
      <w:proofErr w:type="spellEnd"/>
      <w:r>
        <w:t xml:space="preserve">, Bart D. </w:t>
      </w:r>
      <w:r>
        <w:rPr>
          <w:i/>
        </w:rPr>
        <w:t>The New Testament: A Historical Introduction to the Early Christian Writings</w:t>
      </w:r>
      <w:r>
        <w:t xml:space="preserve">. 2nd </w:t>
      </w:r>
      <w:proofErr w:type="gramStart"/>
      <w:r>
        <w:t>ed</w:t>
      </w:r>
      <w:proofErr w:type="gramEnd"/>
      <w:r>
        <w:t xml:space="preserve">. </w:t>
      </w:r>
      <w:smartTag w:uri="urn:schemas-microsoft-com:office:smarttags" w:element="State">
        <w:r>
          <w:t>New York</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 2000.</w:t>
      </w:r>
    </w:p>
    <w:p w:rsidR="007F0C5B" w:rsidRDefault="007F0C5B" w:rsidP="00135D58">
      <w:pPr>
        <w:ind w:left="720" w:hanging="720"/>
      </w:pPr>
    </w:p>
    <w:p w:rsidR="007F0C5B" w:rsidRDefault="007F0C5B" w:rsidP="00135D58">
      <w:pPr>
        <w:ind w:left="720" w:hanging="720"/>
      </w:pPr>
      <w:r>
        <w:t xml:space="preserve">Gates, Henry Louis Jr. </w:t>
      </w:r>
      <w:r w:rsidRPr="007F0C5B">
        <w:rPr>
          <w:i/>
        </w:rPr>
        <w:t>America behind the Color Line: Dialogues with African Americans</w:t>
      </w:r>
      <w:r>
        <w:t xml:space="preserve">. </w:t>
      </w:r>
      <w:smartTag w:uri="urn:schemas-microsoft-com:office:smarttags" w:element="place">
        <w:smartTag w:uri="urn:schemas-microsoft-com:office:smarttags" w:element="State">
          <w:r>
            <w:t>New York</w:t>
          </w:r>
        </w:smartTag>
      </w:smartTag>
      <w:r>
        <w:t>: Warner Books, 2004.</w:t>
      </w:r>
    </w:p>
    <w:p w:rsidR="007F0C5B" w:rsidRDefault="007F0C5B" w:rsidP="00135D58">
      <w:pPr>
        <w:ind w:left="720" w:hanging="720"/>
      </w:pPr>
    </w:p>
    <w:p w:rsidR="007F0C5B" w:rsidRDefault="007F0C5B" w:rsidP="00135D58">
      <w:pPr>
        <w:ind w:left="720" w:hanging="720"/>
      </w:pPr>
      <w:r>
        <w:t xml:space="preserve">———, </w:t>
      </w:r>
      <w:proofErr w:type="gramStart"/>
      <w:r>
        <w:t>ed</w:t>
      </w:r>
      <w:proofErr w:type="gramEnd"/>
      <w:r>
        <w:t xml:space="preserve">. </w:t>
      </w:r>
      <w:proofErr w:type="gramStart"/>
      <w:r w:rsidRPr="007F0C5B">
        <w:rPr>
          <w:i/>
        </w:rPr>
        <w:t>The Classic Slave Narratives</w:t>
      </w:r>
      <w:r>
        <w:t>.</w:t>
      </w:r>
      <w:proofErr w:type="gramEnd"/>
      <w:r>
        <w:t xml:space="preserve"> </w:t>
      </w:r>
      <w:smartTag w:uri="urn:schemas-microsoft-com:office:smarttags" w:element="place">
        <w:smartTag w:uri="urn:schemas-microsoft-com:office:smarttags" w:element="State">
          <w:r>
            <w:t>New York</w:t>
          </w:r>
        </w:smartTag>
      </w:smartTag>
      <w:r>
        <w:t>: Penguin Putnam, 2000.</w:t>
      </w:r>
    </w:p>
    <w:p w:rsidR="00D45F73" w:rsidRDefault="00D45F73" w:rsidP="00135D58">
      <w:pPr>
        <w:ind w:left="720" w:hanging="720"/>
      </w:pPr>
    </w:p>
    <w:p w:rsidR="00D45F73" w:rsidRDefault="00D45F73" w:rsidP="00D45F73">
      <w:pPr>
        <w:ind w:left="720" w:hanging="720"/>
      </w:pPr>
      <w:r>
        <w:t xml:space="preserve">———. </w:t>
      </w:r>
      <w:r w:rsidRPr="007F0C5B">
        <w:rPr>
          <w:i/>
        </w:rPr>
        <w:t>The Signifying Monkey: A Theory of African-American Literary Criticism</w:t>
      </w:r>
      <w:r>
        <w:t xml:space="preserve">. </w:t>
      </w:r>
      <w:smartTag w:uri="urn:schemas-microsoft-com:office:smarttags" w:element="State">
        <w:r>
          <w:t>New York</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 1989.</w:t>
      </w:r>
    </w:p>
    <w:p w:rsidR="00D45F73" w:rsidRDefault="00D45F73" w:rsidP="00D45F73">
      <w:pPr>
        <w:ind w:left="720" w:hanging="720"/>
      </w:pPr>
    </w:p>
    <w:p w:rsidR="00D45F73" w:rsidRDefault="00D45F73" w:rsidP="00D45F73">
      <w:pPr>
        <w:ind w:left="720" w:hanging="720"/>
      </w:pPr>
      <w:proofErr w:type="gramStart"/>
      <w:r>
        <w:t>Gates, Henry Louis Jr., and Cornel West.</w:t>
      </w:r>
      <w:proofErr w:type="gramEnd"/>
      <w:r>
        <w:t xml:space="preserve"> </w:t>
      </w:r>
      <w:r w:rsidRPr="00D45F73">
        <w:rPr>
          <w:i/>
        </w:rPr>
        <w:t>The African American Century: How Black Americans</w:t>
      </w:r>
      <w:r>
        <w:t xml:space="preserve"> </w:t>
      </w:r>
      <w:r w:rsidRPr="00D45F73">
        <w:rPr>
          <w:i/>
        </w:rPr>
        <w:t>Have Shaped Our Country</w:t>
      </w:r>
      <w:r>
        <w:t xml:space="preserve">. </w:t>
      </w:r>
      <w:smartTag w:uri="urn:schemas-microsoft-com:office:smarttags" w:element="place">
        <w:smartTag w:uri="urn:schemas-microsoft-com:office:smarttags" w:element="State">
          <w:r>
            <w:t>New York</w:t>
          </w:r>
        </w:smartTag>
      </w:smartTag>
      <w:r>
        <w:t>: Free Press, 2000.</w:t>
      </w:r>
    </w:p>
    <w:p w:rsidR="00E3780A" w:rsidRDefault="00E3780A" w:rsidP="00D45F73">
      <w:pPr>
        <w:ind w:left="720" w:hanging="720"/>
      </w:pPr>
    </w:p>
    <w:p w:rsidR="00E3780A" w:rsidRDefault="00E3780A" w:rsidP="00D45F73">
      <w:pPr>
        <w:ind w:left="720" w:hanging="720"/>
      </w:pPr>
      <w:proofErr w:type="spellStart"/>
      <w:r>
        <w:t>Grabar</w:t>
      </w:r>
      <w:proofErr w:type="spellEnd"/>
      <w:r>
        <w:t xml:space="preserve">, Oleg. </w:t>
      </w:r>
      <w:proofErr w:type="gramStart"/>
      <w:r w:rsidRPr="00E3780A">
        <w:rPr>
          <w:i/>
        </w:rPr>
        <w:t>The Dome of the Rock</w:t>
      </w:r>
      <w:r>
        <w:t>.</w:t>
      </w:r>
      <w:proofErr w:type="gramEnd"/>
      <w:r>
        <w:t xml:space="preserve"> </w:t>
      </w:r>
      <w:smartTag w:uri="urn:schemas-microsoft-com:office:smarttags" w:element="place">
        <w:smartTag w:uri="urn:schemas-microsoft-com:office:smarttags" w:element="City">
          <w:r>
            <w:t>Cambridge</w:t>
          </w:r>
        </w:smartTag>
        <w:r>
          <w:t xml:space="preserve">, </w:t>
        </w:r>
        <w:smartTag w:uri="urn:schemas-microsoft-com:office:smarttags" w:element="State">
          <w:r>
            <w:t>MA</w:t>
          </w:r>
        </w:smartTag>
      </w:smartTag>
      <w:r>
        <w:t>: Belknap Press, 2006.</w:t>
      </w:r>
    </w:p>
    <w:p w:rsidR="00E3780A" w:rsidRDefault="00E3780A" w:rsidP="00D45F73">
      <w:pPr>
        <w:ind w:left="720" w:hanging="720"/>
      </w:pPr>
    </w:p>
    <w:p w:rsidR="00E3780A" w:rsidRDefault="00E3780A" w:rsidP="00D45F73">
      <w:pPr>
        <w:ind w:left="720" w:hanging="720"/>
      </w:pPr>
      <w:r>
        <w:t xml:space="preserve">———. </w:t>
      </w:r>
      <w:proofErr w:type="gramStart"/>
      <w:r w:rsidRPr="00E3780A">
        <w:rPr>
          <w:i/>
        </w:rPr>
        <w:t>The Formation of Islamic Art</w:t>
      </w:r>
      <w:r>
        <w:t>.</w:t>
      </w:r>
      <w:proofErr w:type="gramEnd"/>
      <w:r>
        <w:t xml:space="preserve"> Rev. </w:t>
      </w:r>
      <w:proofErr w:type="gramStart"/>
      <w:r>
        <w:t>ed</w:t>
      </w:r>
      <w:proofErr w:type="gramEnd"/>
      <w:r>
        <w:t xml:space="preserve">. </w:t>
      </w:r>
      <w:smartTag w:uri="urn:schemas-microsoft-com:office:smarttags" w:element="City">
        <w:r>
          <w:t>New Haven</w:t>
        </w:r>
      </w:smartTag>
      <w:r>
        <w:t xml:space="preserve">, </w:t>
      </w:r>
      <w:smartTag w:uri="urn:schemas-microsoft-com:office:smarttags" w:element="State">
        <w:r>
          <w:t>CT</w:t>
        </w:r>
      </w:smartTag>
      <w:r>
        <w:t xml:space="preserve">: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xml:space="preserve"> Press, 1987.</w:t>
      </w:r>
    </w:p>
    <w:p w:rsidR="00E3780A" w:rsidRDefault="00E3780A" w:rsidP="00D45F73">
      <w:pPr>
        <w:ind w:left="720" w:hanging="720"/>
      </w:pPr>
    </w:p>
    <w:p w:rsidR="00E3780A" w:rsidRDefault="00E3780A" w:rsidP="00D45F73">
      <w:pPr>
        <w:ind w:left="720" w:hanging="720"/>
      </w:pPr>
      <w:proofErr w:type="spellStart"/>
      <w:proofErr w:type="gramStart"/>
      <w:r>
        <w:t>Grabar</w:t>
      </w:r>
      <w:proofErr w:type="spellEnd"/>
      <w:r>
        <w:t>, Oleg, and</w:t>
      </w:r>
      <w:r w:rsidR="000A2CC0">
        <w:t xml:space="preserve"> Sheila Blair.</w:t>
      </w:r>
      <w:proofErr w:type="gramEnd"/>
      <w:r w:rsidR="000A2CC0">
        <w:t xml:space="preserve"> </w:t>
      </w:r>
      <w:r w:rsidR="000A2CC0" w:rsidRPr="00C8333C">
        <w:rPr>
          <w:i/>
        </w:rPr>
        <w:t xml:space="preserve">Epic Images and Contemporary History: The Illustrations of the Great Mongol </w:t>
      </w:r>
      <w:proofErr w:type="spellStart"/>
      <w:r w:rsidR="000A2CC0" w:rsidRPr="00C8333C">
        <w:rPr>
          <w:i/>
        </w:rPr>
        <w:t>Shahnama</w:t>
      </w:r>
      <w:proofErr w:type="spellEnd"/>
      <w:r w:rsidR="000A2CC0">
        <w:t xml:space="preserve">. </w:t>
      </w:r>
      <w:smartTag w:uri="urn:schemas-microsoft-com:office:smarttags" w:element="City">
        <w:r w:rsidR="000A2CC0">
          <w:t>Chicago</w:t>
        </w:r>
      </w:smartTag>
      <w:r w:rsidR="000A2CC0">
        <w:t xml:space="preserve">: </w:t>
      </w:r>
      <w:smartTag w:uri="urn:schemas-microsoft-com:office:smarttags" w:element="place">
        <w:smartTag w:uri="urn:schemas-microsoft-com:office:smarttags" w:element="PlaceType">
          <w:r w:rsidR="000A2CC0">
            <w:t>University</w:t>
          </w:r>
        </w:smartTag>
        <w:r w:rsidR="000A2CC0">
          <w:t xml:space="preserve"> of </w:t>
        </w:r>
        <w:smartTag w:uri="urn:schemas-microsoft-com:office:smarttags" w:element="PlaceName">
          <w:r w:rsidR="000A2CC0">
            <w:t>Chicago</w:t>
          </w:r>
        </w:smartTag>
      </w:smartTag>
      <w:r w:rsidR="000A2CC0">
        <w:t xml:space="preserve"> Press, 1980.</w:t>
      </w:r>
      <w:r>
        <w:t xml:space="preserve"> </w:t>
      </w:r>
    </w:p>
    <w:p w:rsidR="00E260AF" w:rsidRDefault="00E260AF" w:rsidP="00E260AF"/>
    <w:p w:rsidR="00E260AF" w:rsidRDefault="00E260AF" w:rsidP="00E260AF">
      <w:r>
        <w:t xml:space="preserve">Greenstein, Jack M. “The Body of Eve in Andrea Pisano’s </w:t>
      </w:r>
      <w:r w:rsidRPr="00DD55A9">
        <w:rPr>
          <w:i/>
        </w:rPr>
        <w:t>Creation</w:t>
      </w:r>
      <w:r>
        <w:t xml:space="preserve"> Relief.” </w:t>
      </w:r>
      <w:r w:rsidRPr="009206CA">
        <w:rPr>
          <w:i/>
        </w:rPr>
        <w:t>Art Bulletin</w:t>
      </w:r>
      <w:r>
        <w:t xml:space="preserve"> 90,</w:t>
      </w:r>
    </w:p>
    <w:p w:rsidR="00F63638" w:rsidRDefault="00E260AF" w:rsidP="00E260AF">
      <w:pPr>
        <w:ind w:left="720" w:hanging="720"/>
      </w:pPr>
      <w:r>
        <w:tab/>
      </w:r>
      <w:proofErr w:type="gramStart"/>
      <w:r>
        <w:t>no</w:t>
      </w:r>
      <w:proofErr w:type="gramEnd"/>
      <w:r>
        <w:t>. 4 (December 2008): 575-596.</w:t>
      </w:r>
    </w:p>
    <w:p w:rsidR="00E260AF" w:rsidRDefault="00E260AF" w:rsidP="00E260AF">
      <w:pPr>
        <w:ind w:left="720" w:hanging="720"/>
      </w:pPr>
    </w:p>
    <w:p w:rsidR="00F63638" w:rsidRDefault="00F63638" w:rsidP="00F63638">
      <w:pPr>
        <w:ind w:left="720" w:hanging="720"/>
      </w:pPr>
      <w:proofErr w:type="spellStart"/>
      <w:r>
        <w:t>Hedeman</w:t>
      </w:r>
      <w:proofErr w:type="spellEnd"/>
      <w:r>
        <w:t xml:space="preserve">, Anne D. “Roger van </w:t>
      </w:r>
      <w:proofErr w:type="spellStart"/>
      <w:r>
        <w:t>der</w:t>
      </w:r>
      <w:proofErr w:type="spellEnd"/>
      <w:r>
        <w:t xml:space="preserve"> Weyden’s </w:t>
      </w:r>
      <w:smartTag w:uri="urn:schemas-microsoft-com:office:smarttags" w:element="place">
        <w:r>
          <w:t>Escorial</w:t>
        </w:r>
      </w:smartTag>
      <w:r>
        <w:t xml:space="preserve"> </w:t>
      </w:r>
      <w:r w:rsidRPr="00F63638">
        <w:rPr>
          <w:i/>
        </w:rPr>
        <w:t>Crucifixion</w:t>
      </w:r>
      <w:r>
        <w:t xml:space="preserve"> and </w:t>
      </w:r>
      <w:proofErr w:type="spellStart"/>
      <w:r>
        <w:t>Carthusian</w:t>
      </w:r>
      <w:proofErr w:type="spellEnd"/>
      <w:r>
        <w:t xml:space="preserve"> Devotional Practices.” </w:t>
      </w:r>
      <w:proofErr w:type="gramStart"/>
      <w:r>
        <w:t xml:space="preserve">In </w:t>
      </w:r>
      <w:r>
        <w:rPr>
          <w:i/>
        </w:rPr>
        <w:t>The Sacred Image East and West</w:t>
      </w:r>
      <w:r>
        <w:t xml:space="preserve">, edited by Robert </w:t>
      </w:r>
      <w:proofErr w:type="spellStart"/>
      <w:r>
        <w:t>Ousterhout</w:t>
      </w:r>
      <w:proofErr w:type="spellEnd"/>
      <w:r>
        <w:t xml:space="preserve"> and Leslie Brubaker, 191-203.</w:t>
      </w:r>
      <w:proofErr w:type="gramEnd"/>
      <w:r>
        <w:t xml:space="preserve"> </w:t>
      </w:r>
      <w:smartTag w:uri="urn:schemas-microsoft-com:office:smarttags" w:element="City">
        <w:r>
          <w:t>Urbana</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Illinois</w:t>
          </w:r>
        </w:smartTag>
      </w:smartTag>
      <w:r>
        <w:t xml:space="preserve"> Press, 1995.</w:t>
      </w:r>
    </w:p>
    <w:p w:rsidR="00B51E03" w:rsidRDefault="00B51E03" w:rsidP="00B51E03"/>
    <w:p w:rsidR="00B51E03" w:rsidRDefault="00B51E03" w:rsidP="00B51E03">
      <w:proofErr w:type="spellStart"/>
      <w:proofErr w:type="gramStart"/>
      <w:r>
        <w:t>Kogman-Appel</w:t>
      </w:r>
      <w:proofErr w:type="spellEnd"/>
      <w:r>
        <w:t xml:space="preserve">, </w:t>
      </w:r>
      <w:proofErr w:type="spellStart"/>
      <w:r>
        <w:t>Katrin</w:t>
      </w:r>
      <w:proofErr w:type="spellEnd"/>
      <w:r>
        <w:t>.</w:t>
      </w:r>
      <w:proofErr w:type="gramEnd"/>
      <w:r>
        <w:t xml:space="preserve"> “Christianity, Idolatry, and the Question of Jewish Figural Painting in </w:t>
      </w:r>
    </w:p>
    <w:p w:rsidR="00F63638" w:rsidRDefault="00B51E03" w:rsidP="00B51E03">
      <w:pPr>
        <w:ind w:left="720" w:hanging="720"/>
      </w:pPr>
      <w:r>
        <w:tab/>
      </w:r>
      <w:proofErr w:type="gramStart"/>
      <w:r>
        <w:t>the</w:t>
      </w:r>
      <w:proofErr w:type="gramEnd"/>
      <w:r>
        <w:t xml:space="preserve"> Middle Ages.” </w:t>
      </w:r>
      <w:r w:rsidRPr="00A469DC">
        <w:rPr>
          <w:i/>
        </w:rPr>
        <w:t>Speculum</w:t>
      </w:r>
      <w:r>
        <w:t xml:space="preserve"> 84, no. 1 (January 2009): 73-107.</w:t>
      </w:r>
    </w:p>
    <w:p w:rsidR="002764AE" w:rsidRDefault="002764AE" w:rsidP="00B51E03">
      <w:pPr>
        <w:ind w:left="720" w:hanging="720"/>
      </w:pPr>
    </w:p>
    <w:p w:rsidR="002764AE" w:rsidRDefault="002764AE" w:rsidP="00B51E03">
      <w:pPr>
        <w:ind w:left="720" w:hanging="720"/>
      </w:pPr>
      <w:proofErr w:type="gramStart"/>
      <w:r>
        <w:t>Michaud, Philippe-Alain.</w:t>
      </w:r>
      <w:proofErr w:type="gramEnd"/>
      <w:r>
        <w:t xml:space="preserve"> </w:t>
      </w:r>
      <w:proofErr w:type="spellStart"/>
      <w:proofErr w:type="gramStart"/>
      <w:r w:rsidRPr="002764AE">
        <w:rPr>
          <w:i/>
        </w:rPr>
        <w:t>Aby</w:t>
      </w:r>
      <w:proofErr w:type="spellEnd"/>
      <w:r w:rsidRPr="002764AE">
        <w:rPr>
          <w:i/>
        </w:rPr>
        <w:t xml:space="preserve"> Warburg and the Image in Motion</w:t>
      </w:r>
      <w:r>
        <w:t>.</w:t>
      </w:r>
      <w:proofErr w:type="gramEnd"/>
      <w:r>
        <w:t xml:space="preserve"> </w:t>
      </w:r>
      <w:proofErr w:type="gramStart"/>
      <w:r>
        <w:t xml:space="preserve">Translated by Sophie </w:t>
      </w:r>
      <w:proofErr w:type="spellStart"/>
      <w:r>
        <w:t>Hawkes</w:t>
      </w:r>
      <w:proofErr w:type="spellEnd"/>
      <w:r>
        <w:t>.</w:t>
      </w:r>
      <w:proofErr w:type="gramEnd"/>
      <w:r>
        <w:t xml:space="preserve"> </w:t>
      </w:r>
      <w:smartTag w:uri="urn:schemas-microsoft-com:office:smarttags" w:element="State">
        <w:smartTag w:uri="urn:schemas-microsoft-com:office:smarttags" w:element="place">
          <w:r>
            <w:t>New York</w:t>
          </w:r>
        </w:smartTag>
      </w:smartTag>
      <w:r>
        <w:t>: Zone Books, 2007.</w:t>
      </w:r>
    </w:p>
    <w:p w:rsidR="00B51E03" w:rsidRDefault="00B51E03" w:rsidP="00B51E03">
      <w:pPr>
        <w:ind w:left="720" w:hanging="720"/>
      </w:pPr>
    </w:p>
    <w:p w:rsidR="008B26D1" w:rsidRPr="008B26D1" w:rsidRDefault="008B26D1" w:rsidP="00F63638">
      <w:pPr>
        <w:ind w:left="720" w:hanging="720"/>
      </w:pPr>
      <w:proofErr w:type="spellStart"/>
      <w:r>
        <w:t>Verkerk</w:t>
      </w:r>
      <w:proofErr w:type="spellEnd"/>
      <w:r>
        <w:t xml:space="preserve">, Dorothy. </w:t>
      </w:r>
      <w:proofErr w:type="gramStart"/>
      <w:r>
        <w:rPr>
          <w:i/>
        </w:rPr>
        <w:t>Early Medieval Bible Illumination and the Ashburnham Pentateuch</w:t>
      </w:r>
      <w:r>
        <w:t>.</w:t>
      </w:r>
      <w:proofErr w:type="gramEnd"/>
      <w:r>
        <w:t xml:space="preserve">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 2004.</w:t>
      </w:r>
    </w:p>
    <w:sectPr w:rsidR="008B26D1" w:rsidRPr="008B26D1" w:rsidSect="003A6EF0">
      <w:headerReference w:type="even" r:id="rId9"/>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2D9" w:rsidRDefault="00EF12D9">
      <w:r>
        <w:separator/>
      </w:r>
    </w:p>
  </w:endnote>
  <w:endnote w:type="continuationSeparator" w:id="0">
    <w:p w:rsidR="00EF12D9" w:rsidRDefault="00EF1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B53" w:rsidRDefault="00E63B53">
    <w:pPr>
      <w:pStyle w:val="Footer"/>
      <w:jc w:val="center"/>
    </w:pPr>
    <w:fldSimple w:instr=" PAGE   \* MERGEFORMAT ">
      <w:r w:rsidR="00732040">
        <w:rPr>
          <w:noProof/>
        </w:rPr>
        <w:t>3</w:t>
      </w:r>
    </w:fldSimple>
  </w:p>
  <w:p w:rsidR="00986C28" w:rsidRDefault="00986C28" w:rsidP="00986C2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2D9" w:rsidRDefault="00EF12D9">
      <w:r>
        <w:separator/>
      </w:r>
    </w:p>
  </w:footnote>
  <w:footnote w:type="continuationSeparator" w:id="0">
    <w:p w:rsidR="00EF12D9" w:rsidRDefault="00EF12D9">
      <w:r>
        <w:continuationSeparator/>
      </w:r>
    </w:p>
  </w:footnote>
  <w:footnote w:id="1">
    <w:p w:rsidR="003D10D7" w:rsidRDefault="003D10D7" w:rsidP="00855157">
      <w:pPr>
        <w:pStyle w:val="FootnoteText"/>
      </w:pPr>
      <w:r>
        <w:rPr>
          <w:rStyle w:val="FootnoteReference"/>
        </w:rPr>
        <w:footnoteRef/>
      </w:r>
      <w:r w:rsidR="00855157">
        <w:t xml:space="preserve"> </w:t>
      </w:r>
      <w:r>
        <w:t xml:space="preserve">University of Chicago Press, </w:t>
      </w:r>
      <w:proofErr w:type="gramStart"/>
      <w:r w:rsidRPr="00F57B9F">
        <w:rPr>
          <w:i/>
        </w:rPr>
        <w:t>The</w:t>
      </w:r>
      <w:proofErr w:type="gramEnd"/>
      <w:r w:rsidRPr="00F57B9F">
        <w:rPr>
          <w:i/>
        </w:rPr>
        <w:t xml:space="preserve"> Chicago Manual of Style: The Essential Guide for Writers, Editors, and Publishers</w:t>
      </w:r>
      <w:r>
        <w:t>, 15</w:t>
      </w:r>
      <w:r w:rsidRPr="00F57B9F">
        <w:rPr>
          <w:vertAlign w:val="superscript"/>
        </w:rPr>
        <w:t>th</w:t>
      </w:r>
      <w:r>
        <w:t xml:space="preserve"> ed. (</w:t>
      </w:r>
      <w:smartTag w:uri="urn:schemas-microsoft-com:office:smarttags" w:element="City">
        <w:r>
          <w:t>Chicago</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xml:space="preserve"> Press, 2003), 593-754.</w:t>
      </w:r>
    </w:p>
    <w:p w:rsidR="003D10D7" w:rsidRDefault="003D10D7">
      <w:pPr>
        <w:pStyle w:val="FootnoteText"/>
      </w:pPr>
    </w:p>
  </w:footnote>
  <w:footnote w:id="2">
    <w:p w:rsidR="003D10D7" w:rsidRDefault="003D10D7" w:rsidP="00855157">
      <w:pPr>
        <w:pStyle w:val="FootnoteText"/>
      </w:pPr>
      <w:r>
        <w:rPr>
          <w:rStyle w:val="FootnoteReference"/>
        </w:rPr>
        <w:footnoteRef/>
      </w:r>
      <w:r w:rsidR="00855157">
        <w:t xml:space="preserve"> </w:t>
      </w:r>
      <w:r>
        <w:t xml:space="preserve">Kate L. </w:t>
      </w:r>
      <w:proofErr w:type="spellStart"/>
      <w:r>
        <w:t>Turabian</w:t>
      </w:r>
      <w:proofErr w:type="spellEnd"/>
      <w:r>
        <w:t xml:space="preserve">, </w:t>
      </w:r>
      <w:r w:rsidRPr="00C66B1C">
        <w:rPr>
          <w:i/>
        </w:rPr>
        <w:t>A Manual for Writers of Research Papers, Theses, and Dissertations: Chicago Style for</w:t>
      </w:r>
      <w:r>
        <w:t xml:space="preserve"> </w:t>
      </w:r>
      <w:r w:rsidRPr="00C66B1C">
        <w:rPr>
          <w:i/>
        </w:rPr>
        <w:t>Students and Researchers</w:t>
      </w:r>
      <w:r>
        <w:t>, 7</w:t>
      </w:r>
      <w:r w:rsidRPr="0018676A">
        <w:rPr>
          <w:vertAlign w:val="superscript"/>
        </w:rPr>
        <w:t>th</w:t>
      </w:r>
      <w:r>
        <w:t xml:space="preserve"> ed., revised by Wayne C. Booth, Gregory G. </w:t>
      </w:r>
      <w:proofErr w:type="spellStart"/>
      <w:r>
        <w:t>Colomb</w:t>
      </w:r>
      <w:proofErr w:type="spellEnd"/>
      <w:r>
        <w:t>, Joseph M. Williams, and the University of Chicago Press Editorial Staff (Chicago: University of Chicago Press, 2007), 133-215.</w:t>
      </w:r>
    </w:p>
    <w:p w:rsidR="003D10D7" w:rsidRDefault="003D10D7" w:rsidP="00C66B1C">
      <w:pPr>
        <w:pStyle w:val="FootnoteText"/>
      </w:pPr>
      <w:r>
        <w:t xml:space="preserve"> </w:t>
      </w:r>
    </w:p>
  </w:footnote>
  <w:footnote w:id="3">
    <w:p w:rsidR="003D10D7" w:rsidRDefault="003D10D7" w:rsidP="00855157">
      <w:pPr>
        <w:pStyle w:val="FootnoteText"/>
      </w:pPr>
      <w:r>
        <w:rPr>
          <w:rStyle w:val="FootnoteReference"/>
        </w:rPr>
        <w:footnoteRef/>
      </w:r>
      <w:r w:rsidR="00855157">
        <w:t xml:space="preserve"> </w:t>
      </w:r>
      <w:r>
        <w:t xml:space="preserve">Diana Hacker, </w:t>
      </w:r>
      <w:r w:rsidRPr="00A36D0C">
        <w:rPr>
          <w:i/>
        </w:rPr>
        <w:t>A Writer’s Reference with a Guide to Writing in All Disciplines at Loyola College in Maryland</w:t>
      </w:r>
      <w:r>
        <w:t>, 6</w:t>
      </w:r>
      <w:r w:rsidRPr="00C66B1C">
        <w:rPr>
          <w:vertAlign w:val="superscript"/>
        </w:rPr>
        <w:t>th</w:t>
      </w:r>
      <w:r>
        <w:t xml:space="preserve"> ed., ed. </w:t>
      </w:r>
      <w:proofErr w:type="spellStart"/>
      <w:r>
        <w:t>Cinthia</w:t>
      </w:r>
      <w:proofErr w:type="spellEnd"/>
      <w:r>
        <w:t xml:space="preserve"> Gannett and Peggy O’Neill (Boston: Bedford/St. Martin’s, 2007), 460-488.</w:t>
      </w:r>
    </w:p>
    <w:p w:rsidR="003D10D7" w:rsidRDefault="003D10D7" w:rsidP="00A36D0C">
      <w:pPr>
        <w:pStyle w:val="FootnoteText"/>
        <w:ind w:firstLine="720"/>
      </w:pPr>
    </w:p>
  </w:footnote>
  <w:footnote w:id="4">
    <w:p w:rsidR="003D10D7" w:rsidRDefault="003D10D7" w:rsidP="00855157">
      <w:pPr>
        <w:pStyle w:val="FootnoteText"/>
      </w:pPr>
      <w:r>
        <w:rPr>
          <w:rStyle w:val="FootnoteReference"/>
        </w:rPr>
        <w:footnoteRef/>
      </w:r>
      <w:r w:rsidR="00855157">
        <w:t xml:space="preserve"> </w:t>
      </w:r>
      <w:proofErr w:type="spellStart"/>
      <w:r>
        <w:t>Turabian</w:t>
      </w:r>
      <w:proofErr w:type="spellEnd"/>
      <w:r>
        <w:t xml:space="preserve">, </w:t>
      </w:r>
      <w:r w:rsidRPr="00A36D0C">
        <w:rPr>
          <w:i/>
        </w:rPr>
        <w:t>Manual for Writers</w:t>
      </w:r>
      <w:r>
        <w:t>, 143-145.</w:t>
      </w:r>
    </w:p>
  </w:footnote>
  <w:footnote w:id="5">
    <w:p w:rsidR="003D10D7" w:rsidRDefault="003D10D7" w:rsidP="00575843">
      <w:pPr>
        <w:pStyle w:val="FootnoteText"/>
      </w:pPr>
      <w:r>
        <w:rPr>
          <w:rStyle w:val="FootnoteReference"/>
        </w:rPr>
        <w:footnoteRef/>
      </w:r>
      <w:r w:rsidR="00575843">
        <w:t xml:space="preserve"> </w:t>
      </w:r>
      <w:proofErr w:type="gramStart"/>
      <w:r>
        <w:t>Ibid.,</w:t>
      </w:r>
      <w:proofErr w:type="gramEnd"/>
      <w:r>
        <w:t xml:space="preserve"> 148.</w:t>
      </w:r>
    </w:p>
    <w:p w:rsidR="003D10D7" w:rsidRDefault="003D10D7">
      <w:pPr>
        <w:pStyle w:val="FootnoteText"/>
      </w:pPr>
    </w:p>
  </w:footnote>
  <w:footnote w:id="6">
    <w:p w:rsidR="003D10D7" w:rsidRDefault="003D10D7" w:rsidP="00575843">
      <w:pPr>
        <w:pStyle w:val="FootnoteText"/>
      </w:pPr>
      <w:r>
        <w:rPr>
          <w:rStyle w:val="FootnoteReference"/>
        </w:rPr>
        <w:footnoteRef/>
      </w:r>
      <w:r w:rsidR="00575843">
        <w:t xml:space="preserve"> </w:t>
      </w:r>
      <w:proofErr w:type="gramStart"/>
      <w:r>
        <w:t>Ibid.,</w:t>
      </w:r>
      <w:proofErr w:type="gramEnd"/>
      <w:r>
        <w:t xml:space="preserve"> 178-179.</w:t>
      </w:r>
    </w:p>
    <w:p w:rsidR="003D10D7" w:rsidRDefault="003D10D7">
      <w:pPr>
        <w:pStyle w:val="FootnoteText"/>
      </w:pPr>
    </w:p>
  </w:footnote>
  <w:footnote w:id="7">
    <w:p w:rsidR="003D10D7" w:rsidRDefault="003D10D7" w:rsidP="00575843">
      <w:pPr>
        <w:pStyle w:val="FootnoteText"/>
      </w:pPr>
      <w:r>
        <w:rPr>
          <w:rStyle w:val="FootnoteReference"/>
        </w:rPr>
        <w:footnoteRef/>
      </w:r>
      <w:r w:rsidR="00575843">
        <w:t xml:space="preserve"> </w:t>
      </w:r>
      <w:r>
        <w:t xml:space="preserve">Anna C. </w:t>
      </w:r>
      <w:proofErr w:type="spellStart"/>
      <w:r>
        <w:t>Chave</w:t>
      </w:r>
      <w:proofErr w:type="spellEnd"/>
      <w:r>
        <w:t xml:space="preserve">, “Minimalism and Biography,” in </w:t>
      </w:r>
      <w:r w:rsidRPr="008C0368">
        <w:rPr>
          <w:i/>
        </w:rPr>
        <w:t>Reclaiming Female Agency: Feminist Art History after</w:t>
      </w:r>
      <w:r>
        <w:t xml:space="preserve"> </w:t>
      </w:r>
      <w:r w:rsidRPr="008C0368">
        <w:rPr>
          <w:i/>
        </w:rPr>
        <w:t>Postmodernism</w:t>
      </w:r>
      <w:r>
        <w:t xml:space="preserve">, ed. Norma </w:t>
      </w:r>
      <w:proofErr w:type="spellStart"/>
      <w:r>
        <w:t>Broude</w:t>
      </w:r>
      <w:proofErr w:type="spellEnd"/>
      <w:r>
        <w:t xml:space="preserve"> and Mary D. Garrard (</w:t>
      </w:r>
      <w:smartTag w:uri="urn:schemas-microsoft-com:office:smarttags" w:element="City">
        <w:r>
          <w:t>Berkeley</w:t>
        </w:r>
      </w:smartTag>
      <w:r>
        <w:t xml:space="preserve"> and </w:t>
      </w:r>
      <w:smartTag w:uri="urn:schemas-microsoft-com:office:smarttags" w:element="City">
        <w:r>
          <w:t>Los Angeles</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xml:space="preserve"> Press, 2005), 400.</w:t>
      </w:r>
    </w:p>
    <w:p w:rsidR="003D10D7" w:rsidRDefault="003D10D7" w:rsidP="003B4F71">
      <w:pPr>
        <w:pStyle w:val="FootnoteText"/>
      </w:pPr>
    </w:p>
  </w:footnote>
  <w:footnote w:id="8">
    <w:p w:rsidR="003D10D7" w:rsidRDefault="003D10D7" w:rsidP="00575843">
      <w:pPr>
        <w:pStyle w:val="FootnoteText"/>
      </w:pPr>
      <w:r>
        <w:rPr>
          <w:rStyle w:val="FootnoteReference"/>
        </w:rPr>
        <w:footnoteRef/>
      </w:r>
      <w:r w:rsidR="00575843">
        <w:t xml:space="preserve"> </w:t>
      </w:r>
      <w:r>
        <w:t xml:space="preserve">Anthony </w:t>
      </w:r>
      <w:proofErr w:type="spellStart"/>
      <w:r>
        <w:t>Thiselton</w:t>
      </w:r>
      <w:proofErr w:type="spellEnd"/>
      <w:r>
        <w:t xml:space="preserve">, “Biblical Studies and Theoretical Hermeneutics,” in </w:t>
      </w:r>
      <w:proofErr w:type="gramStart"/>
      <w:r w:rsidRPr="00915AE4">
        <w:rPr>
          <w:i/>
        </w:rPr>
        <w:t>The</w:t>
      </w:r>
      <w:proofErr w:type="gramEnd"/>
      <w:r w:rsidRPr="00915AE4">
        <w:rPr>
          <w:i/>
        </w:rPr>
        <w:t xml:space="preserve"> Cambridge Companion to Biblical</w:t>
      </w:r>
      <w:r>
        <w:t xml:space="preserve"> </w:t>
      </w:r>
      <w:r w:rsidRPr="00915AE4">
        <w:rPr>
          <w:i/>
        </w:rPr>
        <w:t>Interpretation</w:t>
      </w:r>
      <w:r>
        <w:t>, ed. John Barton (Cambridge: Cambridge University Press, 1998), 103.</w:t>
      </w:r>
    </w:p>
    <w:p w:rsidR="003D10D7" w:rsidRDefault="003D10D7">
      <w:pPr>
        <w:pStyle w:val="FootnoteText"/>
      </w:pPr>
    </w:p>
  </w:footnote>
  <w:footnote w:id="9">
    <w:p w:rsidR="003D10D7" w:rsidRDefault="003D10D7" w:rsidP="00575843">
      <w:pPr>
        <w:pStyle w:val="FootnoteText"/>
      </w:pPr>
      <w:r>
        <w:rPr>
          <w:rStyle w:val="FootnoteReference"/>
        </w:rPr>
        <w:footnoteRef/>
      </w:r>
      <w:r w:rsidR="00575843">
        <w:t xml:space="preserve"> </w:t>
      </w:r>
      <w:proofErr w:type="spellStart"/>
      <w:r>
        <w:t>Turabian</w:t>
      </w:r>
      <w:proofErr w:type="spellEnd"/>
      <w:r>
        <w:t xml:space="preserve">, </w:t>
      </w:r>
      <w:r w:rsidRPr="00065685">
        <w:rPr>
          <w:i/>
        </w:rPr>
        <w:t>Manual for Writers</w:t>
      </w:r>
      <w:r>
        <w:t>, 163-164.</w:t>
      </w:r>
    </w:p>
    <w:p w:rsidR="003D10D7" w:rsidRDefault="003D10D7">
      <w:pPr>
        <w:pStyle w:val="FootnoteText"/>
      </w:pPr>
    </w:p>
  </w:footnote>
  <w:footnote w:id="10">
    <w:p w:rsidR="003D10D7" w:rsidRDefault="003D10D7" w:rsidP="00575843">
      <w:pPr>
        <w:pStyle w:val="FootnoteText"/>
      </w:pPr>
      <w:r>
        <w:rPr>
          <w:rStyle w:val="FootnoteReference"/>
        </w:rPr>
        <w:footnoteRef/>
      </w:r>
      <w:r w:rsidR="00575843">
        <w:t xml:space="preserve"> </w:t>
      </w:r>
      <w:r>
        <w:t xml:space="preserve">Theodor W. </w:t>
      </w:r>
      <w:proofErr w:type="spellStart"/>
      <w:r>
        <w:t>Adorno</w:t>
      </w:r>
      <w:proofErr w:type="spellEnd"/>
      <w:r>
        <w:t xml:space="preserve"> and Walter Benjamin, </w:t>
      </w:r>
      <w:r w:rsidRPr="006F2D5C">
        <w:rPr>
          <w:i/>
        </w:rPr>
        <w:t>The Complete Correspondence, 1928-1940</w:t>
      </w:r>
      <w:r>
        <w:t xml:space="preserve">, ed. Henri </w:t>
      </w:r>
      <w:proofErr w:type="spellStart"/>
      <w:r>
        <w:t>Lonitz</w:t>
      </w:r>
      <w:proofErr w:type="spellEnd"/>
      <w:r>
        <w:t>, trans. Nicholas Walker (Cambridge, MA: Harvard University Press, 1999), 212.</w:t>
      </w:r>
    </w:p>
    <w:p w:rsidR="003D10D7" w:rsidRDefault="003D10D7">
      <w:pPr>
        <w:pStyle w:val="FootnoteText"/>
      </w:pPr>
    </w:p>
  </w:footnote>
  <w:footnote w:id="11">
    <w:p w:rsidR="003D10D7" w:rsidRDefault="003D10D7" w:rsidP="00575843">
      <w:pPr>
        <w:pStyle w:val="FootnoteText"/>
      </w:pPr>
      <w:r>
        <w:rPr>
          <w:rStyle w:val="FootnoteReference"/>
        </w:rPr>
        <w:footnoteRef/>
      </w:r>
      <w:r w:rsidR="00575843">
        <w:t xml:space="preserve"> </w:t>
      </w:r>
      <w:r>
        <w:t xml:space="preserve">Gilles </w:t>
      </w:r>
      <w:proofErr w:type="spellStart"/>
      <w:r>
        <w:t>Deleuze</w:t>
      </w:r>
      <w:proofErr w:type="spellEnd"/>
      <w:r>
        <w:t xml:space="preserve">, </w:t>
      </w:r>
      <w:proofErr w:type="gramStart"/>
      <w:r w:rsidRPr="00680D7E">
        <w:rPr>
          <w:i/>
        </w:rPr>
        <w:t>The</w:t>
      </w:r>
      <w:proofErr w:type="gramEnd"/>
      <w:r w:rsidRPr="00680D7E">
        <w:rPr>
          <w:i/>
        </w:rPr>
        <w:t xml:space="preserve"> Fold: Leibniz and the Baroque</w:t>
      </w:r>
      <w:r>
        <w:t>, trans. Tom Conley (Minneapolis: University of Minnesota Press, 1993), 52.</w:t>
      </w:r>
    </w:p>
    <w:p w:rsidR="003D10D7" w:rsidRDefault="003D10D7" w:rsidP="00D5783C">
      <w:pPr>
        <w:pStyle w:val="FootnoteText"/>
      </w:pPr>
    </w:p>
  </w:footnote>
  <w:footnote w:id="12">
    <w:p w:rsidR="003D10D7" w:rsidRDefault="003D10D7" w:rsidP="00575843">
      <w:pPr>
        <w:pStyle w:val="FootnoteText"/>
      </w:pPr>
      <w:r>
        <w:rPr>
          <w:rStyle w:val="FootnoteReference"/>
        </w:rPr>
        <w:footnoteRef/>
      </w:r>
      <w:r w:rsidR="00575843">
        <w:t xml:space="preserve"> </w:t>
      </w:r>
      <w:proofErr w:type="gramStart"/>
      <w:r>
        <w:t xml:space="preserve">Procopius, </w:t>
      </w:r>
      <w:r w:rsidRPr="00680D7E">
        <w:rPr>
          <w:i/>
        </w:rPr>
        <w:t>Secret History</w:t>
      </w:r>
      <w:r>
        <w:t>, trans. Richard Atwater (Ann Arbor: University of Michigan Press, 1963), 33.</w:t>
      </w:r>
      <w:proofErr w:type="gramEnd"/>
    </w:p>
    <w:p w:rsidR="003D10D7" w:rsidRDefault="003D10D7" w:rsidP="00D5783C">
      <w:pPr>
        <w:pStyle w:val="FootnoteText"/>
        <w:ind w:firstLine="720"/>
      </w:pPr>
    </w:p>
  </w:footnote>
  <w:footnote w:id="13">
    <w:p w:rsidR="003D10D7" w:rsidRDefault="003D10D7" w:rsidP="0096742F">
      <w:pPr>
        <w:pStyle w:val="FootnoteText"/>
      </w:pPr>
      <w:r>
        <w:rPr>
          <w:rStyle w:val="FootnoteReference"/>
        </w:rPr>
        <w:footnoteRef/>
      </w:r>
      <w:r w:rsidR="0096742F">
        <w:t xml:space="preserve"> </w:t>
      </w:r>
      <w:proofErr w:type="spellStart"/>
      <w:r>
        <w:t>Turabian</w:t>
      </w:r>
      <w:proofErr w:type="spellEnd"/>
      <w:r>
        <w:t xml:space="preserve">, </w:t>
      </w:r>
      <w:r w:rsidRPr="000932ED">
        <w:rPr>
          <w:i/>
        </w:rPr>
        <w:t>Manual for Writers</w:t>
      </w:r>
      <w:r>
        <w:t>, 174-175.</w:t>
      </w:r>
    </w:p>
    <w:p w:rsidR="003D10D7" w:rsidRDefault="003D10D7" w:rsidP="00D80219">
      <w:pPr>
        <w:pStyle w:val="FootnoteText"/>
      </w:pPr>
    </w:p>
  </w:footnote>
  <w:footnote w:id="14">
    <w:p w:rsidR="003D10D7" w:rsidRDefault="003D10D7" w:rsidP="0096742F">
      <w:pPr>
        <w:pStyle w:val="FootnoteText"/>
      </w:pPr>
      <w:r>
        <w:rPr>
          <w:rStyle w:val="FootnoteReference"/>
        </w:rPr>
        <w:footnoteRef/>
      </w:r>
      <w:r w:rsidR="0096742F">
        <w:t xml:space="preserve"> </w:t>
      </w:r>
      <w:proofErr w:type="gramStart"/>
      <w:r>
        <w:t>Ibid.,</w:t>
      </w:r>
      <w:proofErr w:type="gramEnd"/>
      <w:r>
        <w:t xml:space="preserve"> 174.</w:t>
      </w:r>
    </w:p>
    <w:p w:rsidR="003D10D7" w:rsidRDefault="003D10D7">
      <w:pPr>
        <w:pStyle w:val="FootnoteText"/>
      </w:pPr>
    </w:p>
  </w:footnote>
  <w:footnote w:id="15">
    <w:p w:rsidR="003D10D7" w:rsidRDefault="003D10D7" w:rsidP="0096742F">
      <w:pPr>
        <w:pStyle w:val="FootnoteText"/>
      </w:pPr>
      <w:r>
        <w:rPr>
          <w:rStyle w:val="FootnoteReference"/>
        </w:rPr>
        <w:footnoteRef/>
      </w:r>
      <w:r w:rsidR="0096742F">
        <w:t xml:space="preserve"> </w:t>
      </w:r>
      <w:proofErr w:type="gramStart"/>
      <w:r>
        <w:t>Ibid.,</w:t>
      </w:r>
      <w:proofErr w:type="gramEnd"/>
      <w:r>
        <w:t xml:space="preserve"> 168.</w:t>
      </w:r>
    </w:p>
    <w:p w:rsidR="003D10D7" w:rsidRDefault="003D10D7" w:rsidP="00D80219">
      <w:pPr>
        <w:pStyle w:val="FootnoteText"/>
      </w:pPr>
    </w:p>
  </w:footnote>
  <w:footnote w:id="16">
    <w:p w:rsidR="003D10D7" w:rsidRDefault="003D10D7" w:rsidP="007815EF">
      <w:pPr>
        <w:pStyle w:val="FootnoteText"/>
      </w:pPr>
      <w:r>
        <w:rPr>
          <w:rStyle w:val="FootnoteReference"/>
        </w:rPr>
        <w:footnoteRef/>
      </w:r>
      <w:r w:rsidR="007815EF">
        <w:t xml:space="preserve"> </w:t>
      </w:r>
      <w:proofErr w:type="gramStart"/>
      <w:r>
        <w:t xml:space="preserve">Evelyn Welch, </w:t>
      </w:r>
      <w:r w:rsidRPr="00CE650E">
        <w:rPr>
          <w:i/>
        </w:rPr>
        <w:t>Art and Society in Italy, 1350-1500</w:t>
      </w:r>
      <w:r>
        <w:t xml:space="preserve"> (Oxford: Oxford University Press, 1997), 183.</w:t>
      </w:r>
      <w:proofErr w:type="gramEnd"/>
    </w:p>
    <w:p w:rsidR="003D10D7" w:rsidRDefault="003D10D7" w:rsidP="00D80219">
      <w:pPr>
        <w:pStyle w:val="FootnoteText"/>
      </w:pPr>
    </w:p>
  </w:footnote>
  <w:footnote w:id="17">
    <w:p w:rsidR="003D10D7" w:rsidRDefault="003D10D7" w:rsidP="007815EF">
      <w:pPr>
        <w:pStyle w:val="FootnoteText"/>
      </w:pPr>
      <w:r>
        <w:rPr>
          <w:rStyle w:val="FootnoteReference"/>
        </w:rPr>
        <w:footnoteRef/>
      </w:r>
      <w:r w:rsidR="007815EF">
        <w:t xml:space="preserve"> </w:t>
      </w:r>
      <w:proofErr w:type="spellStart"/>
      <w:r>
        <w:t>Turabian</w:t>
      </w:r>
      <w:proofErr w:type="spellEnd"/>
      <w:r>
        <w:t xml:space="preserve">, </w:t>
      </w:r>
      <w:r w:rsidRPr="006566C7">
        <w:rPr>
          <w:i/>
        </w:rPr>
        <w:t>Manual for Writers</w:t>
      </w:r>
      <w:r>
        <w:t>, 170.</w:t>
      </w:r>
    </w:p>
    <w:p w:rsidR="003D10D7" w:rsidRDefault="003D10D7">
      <w:pPr>
        <w:pStyle w:val="FootnoteText"/>
      </w:pPr>
    </w:p>
  </w:footnote>
  <w:footnote w:id="18">
    <w:p w:rsidR="003D10D7" w:rsidRDefault="003D10D7" w:rsidP="007815EF">
      <w:pPr>
        <w:pStyle w:val="FootnoteText"/>
      </w:pPr>
      <w:r>
        <w:rPr>
          <w:rStyle w:val="FootnoteReference"/>
        </w:rPr>
        <w:footnoteRef/>
      </w:r>
      <w:r w:rsidR="007815EF">
        <w:t xml:space="preserve"> </w:t>
      </w:r>
      <w:r>
        <w:t xml:space="preserve">Bart D. </w:t>
      </w:r>
      <w:proofErr w:type="spellStart"/>
      <w:r>
        <w:t>Ehrman</w:t>
      </w:r>
      <w:proofErr w:type="spellEnd"/>
      <w:r>
        <w:t xml:space="preserve">, </w:t>
      </w:r>
      <w:proofErr w:type="gramStart"/>
      <w:r w:rsidRPr="00794EBB">
        <w:rPr>
          <w:i/>
        </w:rPr>
        <w:t>The</w:t>
      </w:r>
      <w:proofErr w:type="gramEnd"/>
      <w:r w:rsidRPr="00794EBB">
        <w:rPr>
          <w:i/>
        </w:rPr>
        <w:t xml:space="preserve"> New Testament: A Historical Introduction to </w:t>
      </w:r>
      <w:r>
        <w:rPr>
          <w:i/>
        </w:rPr>
        <w:t xml:space="preserve">the </w:t>
      </w:r>
      <w:r w:rsidRPr="00794EBB">
        <w:rPr>
          <w:i/>
        </w:rPr>
        <w:t>Early Christian Writings</w:t>
      </w:r>
      <w:r>
        <w:t>, 2nd ed. (</w:t>
      </w:r>
      <w:smartTag w:uri="urn:schemas-microsoft-com:office:smarttags" w:element="State">
        <w:r>
          <w:t>New York</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 2000), 103.</w:t>
      </w:r>
    </w:p>
    <w:p w:rsidR="003D10D7" w:rsidRDefault="003D10D7">
      <w:pPr>
        <w:pStyle w:val="FootnoteText"/>
      </w:pPr>
    </w:p>
  </w:footnote>
  <w:footnote w:id="19">
    <w:p w:rsidR="003D10D7" w:rsidRDefault="003D10D7" w:rsidP="007815EF">
      <w:pPr>
        <w:pStyle w:val="FootnoteText"/>
      </w:pPr>
      <w:r>
        <w:rPr>
          <w:rStyle w:val="FootnoteReference"/>
        </w:rPr>
        <w:footnoteRef/>
      </w:r>
      <w:r w:rsidR="007815EF">
        <w:t xml:space="preserve"> </w:t>
      </w:r>
      <w:r>
        <w:t xml:space="preserve">Oleg </w:t>
      </w:r>
      <w:proofErr w:type="spellStart"/>
      <w:r>
        <w:t>Grabar</w:t>
      </w:r>
      <w:proofErr w:type="spellEnd"/>
      <w:r>
        <w:t xml:space="preserve">, </w:t>
      </w:r>
      <w:proofErr w:type="gramStart"/>
      <w:r w:rsidRPr="00E2046E">
        <w:rPr>
          <w:i/>
        </w:rPr>
        <w:t>The</w:t>
      </w:r>
      <w:proofErr w:type="gramEnd"/>
      <w:r w:rsidRPr="00E2046E">
        <w:rPr>
          <w:i/>
        </w:rPr>
        <w:t xml:space="preserve"> Formation of Islamic Art</w:t>
      </w:r>
      <w:r>
        <w:t>, rev. ed. (New Haven, CT: Yale University Press, 1987), 54.</w:t>
      </w:r>
    </w:p>
    <w:p w:rsidR="003D10D7" w:rsidRDefault="003D10D7">
      <w:pPr>
        <w:pStyle w:val="FootnoteText"/>
      </w:pPr>
    </w:p>
  </w:footnote>
  <w:footnote w:id="20">
    <w:p w:rsidR="003D10D7" w:rsidRDefault="003D10D7" w:rsidP="007815EF">
      <w:pPr>
        <w:pStyle w:val="FootnoteText"/>
      </w:pPr>
      <w:r>
        <w:rPr>
          <w:rStyle w:val="FootnoteReference"/>
        </w:rPr>
        <w:footnoteRef/>
      </w:r>
      <w:r w:rsidR="007815EF">
        <w:t xml:space="preserve"> </w:t>
      </w:r>
      <w:proofErr w:type="spellStart"/>
      <w:r>
        <w:t>Turabian</w:t>
      </w:r>
      <w:proofErr w:type="spellEnd"/>
      <w:r>
        <w:t xml:space="preserve">, </w:t>
      </w:r>
      <w:r w:rsidRPr="00366FA5">
        <w:rPr>
          <w:i/>
        </w:rPr>
        <w:t>Manual for Writers</w:t>
      </w:r>
      <w:r>
        <w:t>, 171.</w:t>
      </w:r>
    </w:p>
    <w:p w:rsidR="003D10D7" w:rsidRDefault="003D10D7">
      <w:pPr>
        <w:pStyle w:val="FootnoteText"/>
      </w:pPr>
    </w:p>
  </w:footnote>
  <w:footnote w:id="21">
    <w:p w:rsidR="003D10D7" w:rsidRDefault="003D10D7" w:rsidP="007815EF">
      <w:pPr>
        <w:pStyle w:val="FootnoteText"/>
      </w:pPr>
      <w:r>
        <w:rPr>
          <w:rStyle w:val="FootnoteReference"/>
        </w:rPr>
        <w:footnoteRef/>
      </w:r>
      <w:r w:rsidR="007815EF">
        <w:t xml:space="preserve"> </w:t>
      </w:r>
      <w:r>
        <w:t xml:space="preserve">Marshall G.S. Hodgson, </w:t>
      </w:r>
      <w:proofErr w:type="gramStart"/>
      <w:r w:rsidRPr="001A5112">
        <w:rPr>
          <w:i/>
        </w:rPr>
        <w:t>The</w:t>
      </w:r>
      <w:proofErr w:type="gramEnd"/>
      <w:r w:rsidRPr="001A5112">
        <w:rPr>
          <w:i/>
        </w:rPr>
        <w:t xml:space="preserve"> Gunpowder Empires and Modern Times</w:t>
      </w:r>
      <w:r>
        <w:t xml:space="preserve">, vol. 3 of </w:t>
      </w:r>
      <w:r>
        <w:rPr>
          <w:i/>
        </w:rPr>
        <w:t>The Venture of Islam: Conscience and History in a World Civilization</w:t>
      </w:r>
      <w:r>
        <w:t xml:space="preserve"> (Chicago: University of Chicago Press, 1974), 96.</w:t>
      </w:r>
    </w:p>
    <w:p w:rsidR="003D10D7" w:rsidRPr="001A5112" w:rsidRDefault="003D10D7">
      <w:pPr>
        <w:pStyle w:val="FootnoteText"/>
      </w:pPr>
    </w:p>
  </w:footnote>
  <w:footnote w:id="22">
    <w:p w:rsidR="003D10D7" w:rsidRDefault="003D10D7" w:rsidP="007815EF">
      <w:pPr>
        <w:pStyle w:val="FootnoteText"/>
        <w:tabs>
          <w:tab w:val="left" w:pos="3960"/>
        </w:tabs>
      </w:pPr>
      <w:r>
        <w:rPr>
          <w:rStyle w:val="FootnoteReference"/>
        </w:rPr>
        <w:footnoteRef/>
      </w:r>
      <w:r w:rsidR="007815EF">
        <w:t xml:space="preserve"> </w:t>
      </w:r>
      <w:proofErr w:type="spellStart"/>
      <w:r>
        <w:t>Turabian</w:t>
      </w:r>
      <w:proofErr w:type="spellEnd"/>
      <w:r>
        <w:t xml:space="preserve">, </w:t>
      </w:r>
      <w:r w:rsidRPr="00C774F2">
        <w:rPr>
          <w:i/>
        </w:rPr>
        <w:t>Manual for Writers</w:t>
      </w:r>
      <w:r>
        <w:t>, 151.</w:t>
      </w:r>
      <w:r>
        <w:tab/>
      </w:r>
    </w:p>
    <w:p w:rsidR="003D10D7" w:rsidRDefault="003D10D7" w:rsidP="00004F7D">
      <w:pPr>
        <w:pStyle w:val="FootnoteText"/>
      </w:pPr>
    </w:p>
  </w:footnote>
  <w:footnote w:id="23">
    <w:p w:rsidR="003D10D7" w:rsidRDefault="003D10D7" w:rsidP="00912DF5">
      <w:pPr>
        <w:pStyle w:val="FootnoteText"/>
      </w:pPr>
      <w:r>
        <w:rPr>
          <w:rStyle w:val="FootnoteReference"/>
        </w:rPr>
        <w:footnoteRef/>
      </w:r>
      <w:r w:rsidR="00912DF5">
        <w:t xml:space="preserve"> </w:t>
      </w:r>
      <w:proofErr w:type="gramStart"/>
      <w:r>
        <w:t>Ibid.,</w:t>
      </w:r>
      <w:proofErr w:type="gramEnd"/>
      <w:r>
        <w:t xml:space="preserve"> 147.</w:t>
      </w:r>
    </w:p>
    <w:p w:rsidR="003D10D7" w:rsidRDefault="003D10D7">
      <w:pPr>
        <w:pStyle w:val="FootnoteText"/>
      </w:pPr>
    </w:p>
  </w:footnote>
  <w:footnote w:id="24">
    <w:p w:rsidR="003D10D7" w:rsidRDefault="003D10D7" w:rsidP="00912DF5">
      <w:pPr>
        <w:pStyle w:val="FootnoteText"/>
      </w:pPr>
      <w:r>
        <w:rPr>
          <w:rStyle w:val="FootnoteReference"/>
        </w:rPr>
        <w:footnoteRef/>
      </w:r>
      <w:r w:rsidR="00912DF5">
        <w:t xml:space="preserve"> </w:t>
      </w:r>
      <w:proofErr w:type="gramStart"/>
      <w:r>
        <w:t xml:space="preserve">Hacker, </w:t>
      </w:r>
      <w:r w:rsidRPr="005E1643">
        <w:rPr>
          <w:i/>
        </w:rPr>
        <w:t>Writer’s Reference</w:t>
      </w:r>
      <w:r>
        <w:t>, 482.</w:t>
      </w:r>
      <w:proofErr w:type="gramEnd"/>
    </w:p>
    <w:p w:rsidR="003D10D7" w:rsidRDefault="003D10D7">
      <w:pPr>
        <w:pStyle w:val="FootnoteText"/>
      </w:pPr>
    </w:p>
  </w:footnote>
  <w:footnote w:id="25">
    <w:p w:rsidR="003D10D7" w:rsidRDefault="003D10D7" w:rsidP="007A0B92">
      <w:pPr>
        <w:pStyle w:val="FootnoteText"/>
        <w:ind w:firstLine="720"/>
      </w:pPr>
      <w:r>
        <w:rPr>
          <w:rStyle w:val="FootnoteReference"/>
        </w:rPr>
        <w:footnoteRef/>
      </w:r>
      <w:proofErr w:type="spellStart"/>
      <w:r>
        <w:t>Turabian</w:t>
      </w:r>
      <w:proofErr w:type="spellEnd"/>
      <w:r>
        <w:t xml:space="preserve">, </w:t>
      </w:r>
      <w:r w:rsidRPr="005E1643">
        <w:rPr>
          <w:i/>
        </w:rPr>
        <w:t>Manual for Writers</w:t>
      </w:r>
      <w:r>
        <w:t xml:space="preserve">, 152.  </w:t>
      </w:r>
      <w:r w:rsidR="00EE0A82">
        <w:t xml:space="preserve">This indented footnote is the official Chicago style.  </w:t>
      </w:r>
      <w:r>
        <w:t>If you look at the sample p</w:t>
      </w:r>
      <w:r w:rsidR="00912DF5">
        <w:t xml:space="preserve">ages for footnotes in </w:t>
      </w:r>
      <w:proofErr w:type="spellStart"/>
      <w:r w:rsidR="00912DF5">
        <w:t>Turabian</w:t>
      </w:r>
      <w:proofErr w:type="spellEnd"/>
      <w:r w:rsidR="00912DF5">
        <w:t xml:space="preserve"> or a scholarly journal like </w:t>
      </w:r>
      <w:r w:rsidR="00912DF5" w:rsidRPr="00912DF5">
        <w:rPr>
          <w:i/>
        </w:rPr>
        <w:t>Speculum</w:t>
      </w:r>
      <w:r>
        <w:t>, you will notice this format.</w:t>
      </w:r>
    </w:p>
    <w:p w:rsidR="003D10D7" w:rsidRDefault="003D10D7">
      <w:pPr>
        <w:pStyle w:val="FootnoteText"/>
      </w:pPr>
    </w:p>
  </w:footnote>
  <w:footnote w:id="26">
    <w:p w:rsidR="000404D5" w:rsidRDefault="000404D5">
      <w:pPr>
        <w:pStyle w:val="FootnoteText"/>
      </w:pPr>
      <w:r>
        <w:rPr>
          <w:rStyle w:val="FootnoteReference"/>
        </w:rPr>
        <w:footnoteRef/>
      </w:r>
      <w:r>
        <w:t xml:space="preserve"> </w:t>
      </w:r>
      <w:r w:rsidR="00EE0A82">
        <w:t xml:space="preserve">This is the default setting for footnotes in Microsoft Word.  </w:t>
      </w:r>
      <w:r>
        <w:t>Examples of this kind of footnote are provided throughout this handout.</w:t>
      </w:r>
    </w:p>
    <w:p w:rsidR="000404D5" w:rsidRDefault="000404D5">
      <w:pPr>
        <w:pStyle w:val="FootnoteText"/>
      </w:pPr>
    </w:p>
  </w:footnote>
  <w:footnote w:id="27">
    <w:p w:rsidR="003D10D7" w:rsidRDefault="003D10D7">
      <w:pPr>
        <w:pStyle w:val="FootnoteText"/>
      </w:pPr>
      <w:r>
        <w:rPr>
          <w:rStyle w:val="FootnoteReference"/>
        </w:rPr>
        <w:footnoteRef/>
      </w:r>
      <w:r w:rsidR="00912DF5">
        <w:t xml:space="preserve"> </w:t>
      </w:r>
      <w:proofErr w:type="gramStart"/>
      <w:r>
        <w:t xml:space="preserve">Hacker, </w:t>
      </w:r>
      <w:r w:rsidRPr="005E1643">
        <w:rPr>
          <w:i/>
        </w:rPr>
        <w:t>Writer’s Reference</w:t>
      </w:r>
      <w:r>
        <w:t>, 472.</w:t>
      </w:r>
      <w:proofErr w:type="gramEnd"/>
    </w:p>
  </w:footnote>
  <w:footnote w:id="28">
    <w:p w:rsidR="001967AA" w:rsidRDefault="001967AA" w:rsidP="001967AA">
      <w:pPr>
        <w:pStyle w:val="FootnoteText"/>
        <w:rPr>
          <w:i/>
        </w:rPr>
      </w:pPr>
    </w:p>
    <w:p w:rsidR="003D10D7" w:rsidRDefault="003D10D7" w:rsidP="001967AA">
      <w:pPr>
        <w:pStyle w:val="FootnoteText"/>
      </w:pPr>
      <w:r>
        <w:rPr>
          <w:rStyle w:val="FootnoteReference"/>
        </w:rPr>
        <w:footnoteRef/>
      </w:r>
      <w:r w:rsidR="00912DF5">
        <w:rPr>
          <w:i/>
        </w:rPr>
        <w:t xml:space="preserve"> </w:t>
      </w:r>
      <w:proofErr w:type="gramStart"/>
      <w:r w:rsidRPr="00440917">
        <w:rPr>
          <w:i/>
        </w:rPr>
        <w:t>Chicago Manual of Style</w:t>
      </w:r>
      <w:r>
        <w:t>, 605.</w:t>
      </w:r>
      <w:proofErr w:type="gramEnd"/>
    </w:p>
    <w:p w:rsidR="003D10D7" w:rsidRDefault="003D10D7" w:rsidP="005E1643">
      <w:pPr>
        <w:pStyle w:val="FootnoteText"/>
        <w:ind w:firstLine="720"/>
      </w:pPr>
    </w:p>
  </w:footnote>
  <w:footnote w:id="29">
    <w:p w:rsidR="003D10D7" w:rsidRDefault="003D10D7" w:rsidP="000248A5">
      <w:pPr>
        <w:pStyle w:val="FootnoteText"/>
      </w:pPr>
      <w:r>
        <w:rPr>
          <w:rStyle w:val="FootnoteReference"/>
        </w:rPr>
        <w:footnoteRef/>
      </w:r>
      <w:r w:rsidR="00912DF5">
        <w:t xml:space="preserve"> </w:t>
      </w:r>
      <w:proofErr w:type="spellStart"/>
      <w:r>
        <w:t>Turabian</w:t>
      </w:r>
      <w:proofErr w:type="spellEnd"/>
      <w:r>
        <w:t xml:space="preserve">, </w:t>
      </w:r>
      <w:r w:rsidRPr="006D5869">
        <w:rPr>
          <w:i/>
        </w:rPr>
        <w:t>Manual for Writers</w:t>
      </w:r>
      <w:r>
        <w:t>, 155-157.</w:t>
      </w:r>
    </w:p>
    <w:p w:rsidR="003D10D7" w:rsidRDefault="003D10D7">
      <w:pPr>
        <w:pStyle w:val="FootnoteText"/>
      </w:pPr>
    </w:p>
  </w:footnote>
  <w:footnote w:id="30">
    <w:p w:rsidR="003D10D7" w:rsidRDefault="003D10D7" w:rsidP="0048122F">
      <w:pPr>
        <w:pStyle w:val="FootnoteText"/>
      </w:pPr>
      <w:r>
        <w:rPr>
          <w:rStyle w:val="FootnoteReference"/>
        </w:rPr>
        <w:footnoteRef/>
      </w:r>
      <w:r w:rsidR="0048122F">
        <w:t xml:space="preserve"> </w:t>
      </w:r>
      <w:proofErr w:type="gramStart"/>
      <w:r>
        <w:t>Ibid.,</w:t>
      </w:r>
      <w:proofErr w:type="gramEnd"/>
      <w:r>
        <w:t xml:space="preserve"> 191.</w:t>
      </w:r>
    </w:p>
    <w:p w:rsidR="003D10D7" w:rsidRDefault="003D10D7">
      <w:pPr>
        <w:pStyle w:val="FootnoteText"/>
      </w:pPr>
    </w:p>
  </w:footnote>
  <w:footnote w:id="31">
    <w:p w:rsidR="003D10D7" w:rsidRDefault="003D10D7" w:rsidP="0048122F">
      <w:pPr>
        <w:pStyle w:val="FootnoteText"/>
      </w:pPr>
      <w:r>
        <w:rPr>
          <w:rStyle w:val="FootnoteReference"/>
        </w:rPr>
        <w:footnoteRef/>
      </w:r>
      <w:r w:rsidR="0048122F">
        <w:rPr>
          <w:i/>
        </w:rPr>
        <w:t xml:space="preserve"> </w:t>
      </w:r>
      <w:r w:rsidRPr="00614D08">
        <w:rPr>
          <w:i/>
        </w:rPr>
        <w:t>Dictionary of American Biography</w:t>
      </w:r>
      <w:r>
        <w:t xml:space="preserve">, </w:t>
      </w:r>
      <w:proofErr w:type="spellStart"/>
      <w:r>
        <w:t>s.v</w:t>
      </w:r>
      <w:proofErr w:type="spellEnd"/>
      <w:r>
        <w:t>. “</w:t>
      </w:r>
      <w:smartTag w:uri="urn:schemas-microsoft-com:office:smarttags" w:element="place">
        <w:smartTag w:uri="urn:schemas-microsoft-com:office:smarttags" w:element="City">
          <w:r>
            <w:t>Wadsworth</w:t>
          </w:r>
        </w:smartTag>
      </w:smartTag>
      <w:r>
        <w:t>, Jeremiah.”</w:t>
      </w:r>
    </w:p>
    <w:p w:rsidR="003D10D7" w:rsidRDefault="003D10D7">
      <w:pPr>
        <w:pStyle w:val="FootnoteText"/>
      </w:pPr>
    </w:p>
  </w:footnote>
  <w:footnote w:id="32">
    <w:p w:rsidR="003D10D7" w:rsidRDefault="003D10D7" w:rsidP="0048122F">
      <w:pPr>
        <w:pStyle w:val="FootnoteText"/>
      </w:pPr>
      <w:r>
        <w:rPr>
          <w:rStyle w:val="FootnoteReference"/>
        </w:rPr>
        <w:footnoteRef/>
      </w:r>
      <w:r w:rsidR="0048122F">
        <w:rPr>
          <w:i/>
        </w:rPr>
        <w:t xml:space="preserve"> </w:t>
      </w:r>
      <w:proofErr w:type="gramStart"/>
      <w:r w:rsidRPr="00440917">
        <w:rPr>
          <w:i/>
        </w:rPr>
        <w:t>Chicago Manual of Style</w:t>
      </w:r>
      <w:r>
        <w:t>, 716.</w:t>
      </w:r>
      <w:proofErr w:type="gramEnd"/>
    </w:p>
    <w:p w:rsidR="003D10D7" w:rsidRDefault="003D10D7">
      <w:pPr>
        <w:pStyle w:val="FootnoteText"/>
      </w:pPr>
    </w:p>
  </w:footnote>
  <w:footnote w:id="33">
    <w:p w:rsidR="003D10D7" w:rsidRDefault="003D10D7" w:rsidP="0048122F">
      <w:pPr>
        <w:pStyle w:val="FootnoteText"/>
      </w:pPr>
      <w:r>
        <w:rPr>
          <w:rStyle w:val="FootnoteReference"/>
        </w:rPr>
        <w:footnoteRef/>
      </w:r>
      <w:r w:rsidR="0048122F">
        <w:rPr>
          <w:rStyle w:val="Emphasis"/>
        </w:rPr>
        <w:t xml:space="preserve"> </w:t>
      </w:r>
      <w:r w:rsidR="006C5AFD">
        <w:rPr>
          <w:rStyle w:val="Emphasis"/>
        </w:rPr>
        <w:t xml:space="preserve">The </w:t>
      </w:r>
      <w:r w:rsidR="00831604">
        <w:rPr>
          <w:rStyle w:val="Emphasis"/>
        </w:rPr>
        <w:t>Grove Art Dictionary of Art</w:t>
      </w:r>
      <w:r>
        <w:t xml:space="preserve">, </w:t>
      </w:r>
      <w:proofErr w:type="spellStart"/>
      <w:r>
        <w:t>s.v</w:t>
      </w:r>
      <w:proofErr w:type="spellEnd"/>
      <w:r>
        <w:t>. "</w:t>
      </w:r>
      <w:r>
        <w:rPr>
          <w:rStyle w:val="article-name"/>
        </w:rPr>
        <w:t>Stonehenge</w:t>
      </w:r>
      <w:r w:rsidR="00831604">
        <w:t>" (by Aubrey Burl)</w:t>
      </w:r>
      <w:r>
        <w:t>.</w:t>
      </w:r>
    </w:p>
    <w:p w:rsidR="003D10D7" w:rsidRDefault="003D10D7" w:rsidP="00614D08">
      <w:pPr>
        <w:pStyle w:val="FootnoteText"/>
        <w:ind w:firstLine="720"/>
      </w:pPr>
    </w:p>
  </w:footnote>
  <w:footnote w:id="34">
    <w:p w:rsidR="003D10D7" w:rsidRDefault="003D10D7" w:rsidP="0048122F">
      <w:pPr>
        <w:pStyle w:val="FootnoteText"/>
      </w:pPr>
      <w:r>
        <w:rPr>
          <w:rStyle w:val="FootnoteReference"/>
        </w:rPr>
        <w:footnoteRef/>
      </w:r>
      <w:r w:rsidR="0048122F">
        <w:t xml:space="preserve"> </w:t>
      </w:r>
      <w:proofErr w:type="spellStart"/>
      <w:r>
        <w:t>Turabian</w:t>
      </w:r>
      <w:proofErr w:type="spellEnd"/>
      <w:r>
        <w:t xml:space="preserve">, </w:t>
      </w:r>
      <w:r w:rsidRPr="001B165A">
        <w:rPr>
          <w:i/>
        </w:rPr>
        <w:t>Manual for Writers</w:t>
      </w:r>
      <w:r>
        <w:t>, 25-27.</w:t>
      </w:r>
    </w:p>
    <w:p w:rsidR="003D10D7" w:rsidRDefault="003D10D7">
      <w:pPr>
        <w:pStyle w:val="FootnoteText"/>
      </w:pPr>
    </w:p>
  </w:footnote>
  <w:footnote w:id="35">
    <w:p w:rsidR="003D10D7" w:rsidRDefault="003D10D7" w:rsidP="0048122F">
      <w:pPr>
        <w:pStyle w:val="FootnoteText"/>
      </w:pPr>
      <w:r>
        <w:rPr>
          <w:rStyle w:val="FootnoteReference"/>
        </w:rPr>
        <w:footnoteRef/>
      </w:r>
      <w:r w:rsidR="0048122F">
        <w:t xml:space="preserve"> </w:t>
      </w:r>
      <w:proofErr w:type="gramStart"/>
      <w:r>
        <w:t>Ibid.,</w:t>
      </w:r>
      <w:proofErr w:type="gramEnd"/>
      <w:r>
        <w:t xml:space="preserve"> 27.</w:t>
      </w:r>
    </w:p>
    <w:p w:rsidR="003D10D7" w:rsidRDefault="003D10D7">
      <w:pPr>
        <w:pStyle w:val="FootnoteText"/>
      </w:pPr>
    </w:p>
  </w:footnote>
  <w:footnote w:id="36">
    <w:p w:rsidR="003D10D7" w:rsidRDefault="003D10D7" w:rsidP="0048122F">
      <w:pPr>
        <w:pStyle w:val="FootnoteText"/>
      </w:pPr>
      <w:r>
        <w:rPr>
          <w:rStyle w:val="FootnoteReference"/>
        </w:rPr>
        <w:footnoteRef/>
      </w:r>
      <w:r w:rsidR="0048122F">
        <w:t xml:space="preserve"> </w:t>
      </w:r>
      <w:proofErr w:type="gramStart"/>
      <w:r>
        <w:t>Ibid.,</w:t>
      </w:r>
      <w:proofErr w:type="gramEnd"/>
      <w:r>
        <w:t xml:space="preserve"> 182-183.</w:t>
      </w:r>
    </w:p>
    <w:p w:rsidR="003D10D7" w:rsidRDefault="003D10D7">
      <w:pPr>
        <w:pStyle w:val="FootnoteText"/>
      </w:pPr>
    </w:p>
  </w:footnote>
  <w:footnote w:id="37">
    <w:p w:rsidR="003D10D7" w:rsidRDefault="003D10D7" w:rsidP="0048122F">
      <w:pPr>
        <w:pStyle w:val="FootnoteText"/>
      </w:pPr>
      <w:r>
        <w:rPr>
          <w:rStyle w:val="FootnoteReference"/>
        </w:rPr>
        <w:footnoteRef/>
      </w:r>
      <w:r w:rsidR="0048122F">
        <w:t xml:space="preserve"> </w:t>
      </w:r>
      <w:r>
        <w:t>Ibid.</w:t>
      </w:r>
    </w:p>
    <w:p w:rsidR="003D10D7" w:rsidRDefault="003D10D7">
      <w:pPr>
        <w:pStyle w:val="FootnoteText"/>
      </w:pPr>
    </w:p>
  </w:footnote>
  <w:footnote w:id="38">
    <w:p w:rsidR="003D10D7" w:rsidRDefault="003D10D7" w:rsidP="0048122F">
      <w:pPr>
        <w:pStyle w:val="FootnoteText"/>
      </w:pPr>
      <w:r>
        <w:rPr>
          <w:rStyle w:val="FootnoteReference"/>
        </w:rPr>
        <w:footnoteRef/>
      </w:r>
      <w:r w:rsidR="0048122F">
        <w:t xml:space="preserve"> </w:t>
      </w:r>
      <w:proofErr w:type="gramStart"/>
      <w:r>
        <w:t>Ibid.,</w:t>
      </w:r>
      <w:proofErr w:type="gramEnd"/>
      <w:r>
        <w:t xml:space="preserve"> 319.</w:t>
      </w:r>
    </w:p>
    <w:p w:rsidR="003D10D7" w:rsidRDefault="003D10D7" w:rsidP="00206362">
      <w:pPr>
        <w:pStyle w:val="FootnoteText"/>
        <w:ind w:firstLine="720"/>
      </w:pPr>
    </w:p>
  </w:footnote>
  <w:footnote w:id="39">
    <w:p w:rsidR="003D10D7" w:rsidRDefault="003D10D7" w:rsidP="003034D9">
      <w:pPr>
        <w:pStyle w:val="FootnoteText"/>
      </w:pPr>
      <w:r>
        <w:rPr>
          <w:rStyle w:val="FootnoteReference"/>
        </w:rPr>
        <w:footnoteRef/>
      </w:r>
      <w:r w:rsidR="003034D9">
        <w:t xml:space="preserve"> </w:t>
      </w:r>
      <w:r>
        <w:t xml:space="preserve">Susan Boynton, “Prayer as Liturgical Performance in Eleventh- and Twelfth-Century Psalters,” </w:t>
      </w:r>
      <w:r w:rsidRPr="009206CA">
        <w:rPr>
          <w:i/>
        </w:rPr>
        <w:t>Speculum</w:t>
      </w:r>
      <w:r>
        <w:t xml:space="preserve"> 82, no. 4 (October 2007): 901-904.</w:t>
      </w:r>
    </w:p>
    <w:p w:rsidR="003D10D7" w:rsidRDefault="003D10D7">
      <w:pPr>
        <w:pStyle w:val="FootnoteText"/>
      </w:pPr>
    </w:p>
  </w:footnote>
  <w:footnote w:id="40">
    <w:p w:rsidR="003D10D7" w:rsidRDefault="003D10D7" w:rsidP="003034D9">
      <w:pPr>
        <w:pStyle w:val="FootnoteText"/>
      </w:pPr>
      <w:r>
        <w:rPr>
          <w:rStyle w:val="FootnoteReference"/>
        </w:rPr>
        <w:footnoteRef/>
      </w:r>
      <w:r w:rsidR="003034D9">
        <w:t xml:space="preserve"> </w:t>
      </w:r>
      <w:r>
        <w:t xml:space="preserve">Claude </w:t>
      </w:r>
      <w:proofErr w:type="spellStart"/>
      <w:r>
        <w:t>Cernuschi</w:t>
      </w:r>
      <w:proofErr w:type="spellEnd"/>
      <w:r>
        <w:t xml:space="preserve"> and </w:t>
      </w:r>
      <w:proofErr w:type="spellStart"/>
      <w:r>
        <w:t>Andrzej</w:t>
      </w:r>
      <w:proofErr w:type="spellEnd"/>
      <w:r>
        <w:t xml:space="preserve"> </w:t>
      </w:r>
      <w:proofErr w:type="spellStart"/>
      <w:r>
        <w:t>Herczynski</w:t>
      </w:r>
      <w:proofErr w:type="spellEnd"/>
      <w:r>
        <w:t xml:space="preserve">, “The Subversion of Gravity in Jackson Pollock’s Abstractions,” </w:t>
      </w:r>
      <w:r w:rsidRPr="00060F08">
        <w:rPr>
          <w:i/>
        </w:rPr>
        <w:t>Art Bulletin</w:t>
      </w:r>
      <w:r>
        <w:t xml:space="preserve"> 90, no. 4 (December 2008): 619.</w:t>
      </w:r>
    </w:p>
    <w:p w:rsidR="003D10D7" w:rsidRDefault="003D10D7">
      <w:pPr>
        <w:pStyle w:val="FootnoteText"/>
      </w:pPr>
    </w:p>
  </w:footnote>
  <w:footnote w:id="41">
    <w:p w:rsidR="003D10D7" w:rsidRDefault="003D10D7" w:rsidP="003034D9">
      <w:pPr>
        <w:pStyle w:val="FootnoteText"/>
      </w:pPr>
      <w:r>
        <w:rPr>
          <w:rStyle w:val="FootnoteReference"/>
        </w:rPr>
        <w:footnoteRef/>
      </w:r>
      <w:r w:rsidR="003034D9">
        <w:t xml:space="preserve"> </w:t>
      </w:r>
      <w:r>
        <w:t xml:space="preserve">Jack M. Greenstein, “The Body of Eve in Andrea Pisano’s </w:t>
      </w:r>
      <w:r w:rsidRPr="00DD55A9">
        <w:rPr>
          <w:i/>
        </w:rPr>
        <w:t>Creation</w:t>
      </w:r>
      <w:r>
        <w:t xml:space="preserve"> Relief,” </w:t>
      </w:r>
      <w:r w:rsidRPr="00060F08">
        <w:rPr>
          <w:i/>
        </w:rPr>
        <w:t>Art Bulletin</w:t>
      </w:r>
      <w:r>
        <w:t xml:space="preserve"> 90, no. 4 (December 2008): 582.</w:t>
      </w:r>
    </w:p>
    <w:p w:rsidR="003D10D7" w:rsidRDefault="003D10D7">
      <w:pPr>
        <w:pStyle w:val="FootnoteText"/>
      </w:pPr>
      <w:r>
        <w:t xml:space="preserve"> </w:t>
      </w:r>
    </w:p>
  </w:footnote>
  <w:footnote w:id="42">
    <w:p w:rsidR="003D10D7" w:rsidRDefault="003D10D7" w:rsidP="003034D9">
      <w:pPr>
        <w:pStyle w:val="FootnoteText"/>
      </w:pPr>
      <w:r>
        <w:rPr>
          <w:rStyle w:val="FootnoteReference"/>
        </w:rPr>
        <w:footnoteRef/>
      </w:r>
      <w:r w:rsidR="003034D9">
        <w:t xml:space="preserve"> </w:t>
      </w:r>
      <w:proofErr w:type="spellStart"/>
      <w:r>
        <w:t>Katrin</w:t>
      </w:r>
      <w:proofErr w:type="spellEnd"/>
      <w:r>
        <w:t xml:space="preserve"> </w:t>
      </w:r>
      <w:proofErr w:type="spellStart"/>
      <w:r>
        <w:t>Kogman-Appel</w:t>
      </w:r>
      <w:proofErr w:type="spellEnd"/>
      <w:r>
        <w:t xml:space="preserve">, “Christianity, Idolatry, and the Question of Jewish Figural Painting in the Middle Ages,” </w:t>
      </w:r>
      <w:r w:rsidRPr="00F15714">
        <w:rPr>
          <w:i/>
        </w:rPr>
        <w:t>Speculum</w:t>
      </w:r>
      <w:r>
        <w:t xml:space="preserve"> 84, no. 1 (January 2009): 97.</w:t>
      </w:r>
    </w:p>
    <w:p w:rsidR="003D10D7" w:rsidRDefault="003D10D7">
      <w:pPr>
        <w:pStyle w:val="FootnoteText"/>
      </w:pPr>
    </w:p>
  </w:footnote>
  <w:footnote w:id="43">
    <w:p w:rsidR="003D10D7" w:rsidRDefault="003D10D7" w:rsidP="003034D9">
      <w:pPr>
        <w:pStyle w:val="FootnoteText"/>
      </w:pPr>
      <w:r>
        <w:rPr>
          <w:rStyle w:val="FootnoteReference"/>
        </w:rPr>
        <w:footnoteRef/>
      </w:r>
      <w:r w:rsidR="003034D9">
        <w:t xml:space="preserve"> </w:t>
      </w:r>
      <w:proofErr w:type="spellStart"/>
      <w:r>
        <w:t>Turabian</w:t>
      </w:r>
      <w:proofErr w:type="spellEnd"/>
      <w:r>
        <w:t xml:space="preserve">, </w:t>
      </w:r>
      <w:r w:rsidRPr="005072B4">
        <w:rPr>
          <w:i/>
        </w:rPr>
        <w:t>Manual for Writers</w:t>
      </w:r>
      <w:r>
        <w:t>, 185.</w:t>
      </w:r>
    </w:p>
    <w:p w:rsidR="003D10D7" w:rsidRDefault="003D10D7">
      <w:pPr>
        <w:pStyle w:val="FootnoteText"/>
      </w:pPr>
    </w:p>
  </w:footnote>
  <w:footnote w:id="44">
    <w:p w:rsidR="003D10D7" w:rsidRDefault="003D10D7" w:rsidP="003034D9">
      <w:pPr>
        <w:pStyle w:val="FootnoteText"/>
      </w:pPr>
      <w:r>
        <w:rPr>
          <w:rStyle w:val="FootnoteReference"/>
        </w:rPr>
        <w:footnoteRef/>
      </w:r>
      <w:r w:rsidR="003034D9">
        <w:t xml:space="preserve"> </w:t>
      </w:r>
      <w:r>
        <w:t xml:space="preserve">Johann </w:t>
      </w:r>
      <w:proofErr w:type="spellStart"/>
      <w:r>
        <w:t>Konrad</w:t>
      </w:r>
      <w:proofErr w:type="spellEnd"/>
      <w:r>
        <w:t xml:space="preserve"> </w:t>
      </w:r>
      <w:proofErr w:type="spellStart"/>
      <w:r>
        <w:t>Eberlein</w:t>
      </w:r>
      <w:proofErr w:type="spellEnd"/>
      <w:r>
        <w:t xml:space="preserve">, “The Curtain in Raphael’s </w:t>
      </w:r>
      <w:r w:rsidRPr="007D573D">
        <w:rPr>
          <w:i/>
        </w:rPr>
        <w:t>Sistine Madonna</w:t>
      </w:r>
      <w:r>
        <w:t xml:space="preserve">,” </w:t>
      </w:r>
      <w:r w:rsidRPr="00754C88">
        <w:rPr>
          <w:i/>
        </w:rPr>
        <w:t>Art Bulletin</w:t>
      </w:r>
      <w:r>
        <w:t xml:space="preserve"> 65, no 1 (March 1983): 70</w:t>
      </w:r>
      <w:r w:rsidRPr="00206362">
        <w:t xml:space="preserve">, </w:t>
      </w:r>
      <w:hyperlink r:id="rId1" w:history="1">
        <w:r w:rsidRPr="00206362">
          <w:rPr>
            <w:rStyle w:val="Hyperlink"/>
            <w:color w:val="auto"/>
            <w:u w:val="none"/>
          </w:rPr>
          <w:t>http://www.jstor.org/stable/3050299</w:t>
        </w:r>
      </w:hyperlink>
      <w:r>
        <w:t xml:space="preserve"> (accessed May 1, 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0D7" w:rsidRDefault="003D10D7" w:rsidP="00DE2C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10D7" w:rsidRDefault="003D10D7" w:rsidP="003A6EF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0D7" w:rsidRDefault="003D10D7" w:rsidP="003A6EF0">
    <w:pPr>
      <w:pStyle w:val="Header"/>
      <w:ind w:right="360"/>
    </w:pP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00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rsids>
    <w:rsidRoot w:val="00FA62BD"/>
    <w:rsid w:val="00000A2F"/>
    <w:rsid w:val="00002CFB"/>
    <w:rsid w:val="00004F7D"/>
    <w:rsid w:val="000070A1"/>
    <w:rsid w:val="00022E75"/>
    <w:rsid w:val="00023CF4"/>
    <w:rsid w:val="000248A5"/>
    <w:rsid w:val="00034CDF"/>
    <w:rsid w:val="0003574F"/>
    <w:rsid w:val="00037E47"/>
    <w:rsid w:val="000404D5"/>
    <w:rsid w:val="00042DD9"/>
    <w:rsid w:val="000504F4"/>
    <w:rsid w:val="0005082A"/>
    <w:rsid w:val="00052A44"/>
    <w:rsid w:val="00056312"/>
    <w:rsid w:val="00060F08"/>
    <w:rsid w:val="00062D71"/>
    <w:rsid w:val="00063800"/>
    <w:rsid w:val="00065685"/>
    <w:rsid w:val="00065B54"/>
    <w:rsid w:val="00073413"/>
    <w:rsid w:val="00077BF7"/>
    <w:rsid w:val="00080624"/>
    <w:rsid w:val="00083898"/>
    <w:rsid w:val="000865A5"/>
    <w:rsid w:val="00086FF3"/>
    <w:rsid w:val="00091DE5"/>
    <w:rsid w:val="000932ED"/>
    <w:rsid w:val="000957C6"/>
    <w:rsid w:val="000A0668"/>
    <w:rsid w:val="000A2CC0"/>
    <w:rsid w:val="000C216B"/>
    <w:rsid w:val="000C4990"/>
    <w:rsid w:val="000D5D98"/>
    <w:rsid w:val="000E1EF1"/>
    <w:rsid w:val="000F13A8"/>
    <w:rsid w:val="000F1F60"/>
    <w:rsid w:val="000F455D"/>
    <w:rsid w:val="000F64BA"/>
    <w:rsid w:val="00103C24"/>
    <w:rsid w:val="0011038B"/>
    <w:rsid w:val="0011255E"/>
    <w:rsid w:val="00114930"/>
    <w:rsid w:val="001345E2"/>
    <w:rsid w:val="00135523"/>
    <w:rsid w:val="00135D58"/>
    <w:rsid w:val="001522F9"/>
    <w:rsid w:val="00153388"/>
    <w:rsid w:val="00153BFC"/>
    <w:rsid w:val="001554CC"/>
    <w:rsid w:val="001559FC"/>
    <w:rsid w:val="00166490"/>
    <w:rsid w:val="0016748F"/>
    <w:rsid w:val="00184120"/>
    <w:rsid w:val="0018676A"/>
    <w:rsid w:val="0018761C"/>
    <w:rsid w:val="0019423B"/>
    <w:rsid w:val="00194E56"/>
    <w:rsid w:val="001967AA"/>
    <w:rsid w:val="00196F9F"/>
    <w:rsid w:val="001A5112"/>
    <w:rsid w:val="001A7DAF"/>
    <w:rsid w:val="001B165A"/>
    <w:rsid w:val="001C5090"/>
    <w:rsid w:val="001D2BA4"/>
    <w:rsid w:val="001D3CFF"/>
    <w:rsid w:val="001D7F46"/>
    <w:rsid w:val="001E3B42"/>
    <w:rsid w:val="001E6FA1"/>
    <w:rsid w:val="001F5759"/>
    <w:rsid w:val="001F704C"/>
    <w:rsid w:val="001F7ECA"/>
    <w:rsid w:val="002012F2"/>
    <w:rsid w:val="0020380E"/>
    <w:rsid w:val="00206362"/>
    <w:rsid w:val="002078C1"/>
    <w:rsid w:val="00210DB9"/>
    <w:rsid w:val="00211837"/>
    <w:rsid w:val="00225750"/>
    <w:rsid w:val="002305D5"/>
    <w:rsid w:val="00236878"/>
    <w:rsid w:val="00241337"/>
    <w:rsid w:val="002434AF"/>
    <w:rsid w:val="00255001"/>
    <w:rsid w:val="00263A7B"/>
    <w:rsid w:val="00267B5D"/>
    <w:rsid w:val="00267CE5"/>
    <w:rsid w:val="00271F06"/>
    <w:rsid w:val="002734C7"/>
    <w:rsid w:val="00273C68"/>
    <w:rsid w:val="002764AE"/>
    <w:rsid w:val="002A4522"/>
    <w:rsid w:val="002B37C0"/>
    <w:rsid w:val="002E68C1"/>
    <w:rsid w:val="002F04BC"/>
    <w:rsid w:val="003003AD"/>
    <w:rsid w:val="00300430"/>
    <w:rsid w:val="003034D9"/>
    <w:rsid w:val="00305480"/>
    <w:rsid w:val="00307DCB"/>
    <w:rsid w:val="00312561"/>
    <w:rsid w:val="00321008"/>
    <w:rsid w:val="00337E89"/>
    <w:rsid w:val="003543BD"/>
    <w:rsid w:val="00366FA5"/>
    <w:rsid w:val="003673F7"/>
    <w:rsid w:val="0036764D"/>
    <w:rsid w:val="00367A38"/>
    <w:rsid w:val="00372101"/>
    <w:rsid w:val="0037246D"/>
    <w:rsid w:val="00372C79"/>
    <w:rsid w:val="00374AB9"/>
    <w:rsid w:val="003821FA"/>
    <w:rsid w:val="00387595"/>
    <w:rsid w:val="00395ED9"/>
    <w:rsid w:val="003A4472"/>
    <w:rsid w:val="003A6117"/>
    <w:rsid w:val="003A61E6"/>
    <w:rsid w:val="003A6EF0"/>
    <w:rsid w:val="003A7B3E"/>
    <w:rsid w:val="003B24ED"/>
    <w:rsid w:val="003B4F71"/>
    <w:rsid w:val="003D10D7"/>
    <w:rsid w:val="003D2406"/>
    <w:rsid w:val="003D37BD"/>
    <w:rsid w:val="003D46C7"/>
    <w:rsid w:val="003D7A02"/>
    <w:rsid w:val="003E0A43"/>
    <w:rsid w:val="003F3136"/>
    <w:rsid w:val="003F7670"/>
    <w:rsid w:val="00401F66"/>
    <w:rsid w:val="00402A2C"/>
    <w:rsid w:val="0040795A"/>
    <w:rsid w:val="0041248B"/>
    <w:rsid w:val="00412C2E"/>
    <w:rsid w:val="00415B56"/>
    <w:rsid w:val="0042486A"/>
    <w:rsid w:val="00440917"/>
    <w:rsid w:val="004420A7"/>
    <w:rsid w:val="00445917"/>
    <w:rsid w:val="004478B8"/>
    <w:rsid w:val="00452292"/>
    <w:rsid w:val="00454DC1"/>
    <w:rsid w:val="004570D6"/>
    <w:rsid w:val="0047151E"/>
    <w:rsid w:val="0047296B"/>
    <w:rsid w:val="00473E5A"/>
    <w:rsid w:val="00474D7A"/>
    <w:rsid w:val="0048122F"/>
    <w:rsid w:val="004830D0"/>
    <w:rsid w:val="00484470"/>
    <w:rsid w:val="00487EB0"/>
    <w:rsid w:val="00492C56"/>
    <w:rsid w:val="00494BB3"/>
    <w:rsid w:val="004A0397"/>
    <w:rsid w:val="004A4678"/>
    <w:rsid w:val="004A59A3"/>
    <w:rsid w:val="004D2B57"/>
    <w:rsid w:val="004D6570"/>
    <w:rsid w:val="004D66B6"/>
    <w:rsid w:val="004E57DD"/>
    <w:rsid w:val="004F016B"/>
    <w:rsid w:val="004F0762"/>
    <w:rsid w:val="004F4CF3"/>
    <w:rsid w:val="004F4D9E"/>
    <w:rsid w:val="004F6E14"/>
    <w:rsid w:val="00501C70"/>
    <w:rsid w:val="005072B4"/>
    <w:rsid w:val="00511247"/>
    <w:rsid w:val="00521865"/>
    <w:rsid w:val="0052224B"/>
    <w:rsid w:val="005224E5"/>
    <w:rsid w:val="00522665"/>
    <w:rsid w:val="00530AD7"/>
    <w:rsid w:val="00541409"/>
    <w:rsid w:val="00544B3D"/>
    <w:rsid w:val="0055073D"/>
    <w:rsid w:val="005561BD"/>
    <w:rsid w:val="00561D72"/>
    <w:rsid w:val="00564391"/>
    <w:rsid w:val="00566021"/>
    <w:rsid w:val="005752A6"/>
    <w:rsid w:val="00575843"/>
    <w:rsid w:val="00582E27"/>
    <w:rsid w:val="00596572"/>
    <w:rsid w:val="005A1C72"/>
    <w:rsid w:val="005A4C60"/>
    <w:rsid w:val="005B657D"/>
    <w:rsid w:val="005C1871"/>
    <w:rsid w:val="005E1643"/>
    <w:rsid w:val="00600D1D"/>
    <w:rsid w:val="00600F17"/>
    <w:rsid w:val="0060415C"/>
    <w:rsid w:val="00606863"/>
    <w:rsid w:val="00614D08"/>
    <w:rsid w:val="0061605C"/>
    <w:rsid w:val="00623283"/>
    <w:rsid w:val="00633712"/>
    <w:rsid w:val="0063597F"/>
    <w:rsid w:val="0063652C"/>
    <w:rsid w:val="00646123"/>
    <w:rsid w:val="006461D6"/>
    <w:rsid w:val="006566C7"/>
    <w:rsid w:val="006664D4"/>
    <w:rsid w:val="00666C20"/>
    <w:rsid w:val="00671D68"/>
    <w:rsid w:val="0068089C"/>
    <w:rsid w:val="00680D7E"/>
    <w:rsid w:val="006948B6"/>
    <w:rsid w:val="006B561E"/>
    <w:rsid w:val="006C5AFD"/>
    <w:rsid w:val="006D2181"/>
    <w:rsid w:val="006D4D0D"/>
    <w:rsid w:val="006D5869"/>
    <w:rsid w:val="006E72C6"/>
    <w:rsid w:val="006F02CF"/>
    <w:rsid w:val="006F1E87"/>
    <w:rsid w:val="006F2D5C"/>
    <w:rsid w:val="006F56B7"/>
    <w:rsid w:val="006F695A"/>
    <w:rsid w:val="006F7385"/>
    <w:rsid w:val="00704788"/>
    <w:rsid w:val="00705289"/>
    <w:rsid w:val="0071526E"/>
    <w:rsid w:val="00731ACC"/>
    <w:rsid w:val="00732040"/>
    <w:rsid w:val="00742CB7"/>
    <w:rsid w:val="007455D8"/>
    <w:rsid w:val="007455F7"/>
    <w:rsid w:val="00753609"/>
    <w:rsid w:val="00754C88"/>
    <w:rsid w:val="00755FC3"/>
    <w:rsid w:val="00760F21"/>
    <w:rsid w:val="007758ED"/>
    <w:rsid w:val="00775F51"/>
    <w:rsid w:val="007815EF"/>
    <w:rsid w:val="00782B65"/>
    <w:rsid w:val="00784C69"/>
    <w:rsid w:val="0079436D"/>
    <w:rsid w:val="00794EBB"/>
    <w:rsid w:val="007A0B92"/>
    <w:rsid w:val="007A24F5"/>
    <w:rsid w:val="007A6A2E"/>
    <w:rsid w:val="007C0A5F"/>
    <w:rsid w:val="007C1BA7"/>
    <w:rsid w:val="007C2358"/>
    <w:rsid w:val="007D0C53"/>
    <w:rsid w:val="007D1832"/>
    <w:rsid w:val="007D2DDB"/>
    <w:rsid w:val="007D573D"/>
    <w:rsid w:val="007E5EC3"/>
    <w:rsid w:val="007F0B93"/>
    <w:rsid w:val="007F0C5B"/>
    <w:rsid w:val="007F2CE7"/>
    <w:rsid w:val="007F75D8"/>
    <w:rsid w:val="008040DF"/>
    <w:rsid w:val="00804803"/>
    <w:rsid w:val="0081390B"/>
    <w:rsid w:val="00816373"/>
    <w:rsid w:val="008273B7"/>
    <w:rsid w:val="008300F8"/>
    <w:rsid w:val="00830A32"/>
    <w:rsid w:val="00831604"/>
    <w:rsid w:val="00835740"/>
    <w:rsid w:val="008372B3"/>
    <w:rsid w:val="00844042"/>
    <w:rsid w:val="00847D59"/>
    <w:rsid w:val="00853F90"/>
    <w:rsid w:val="00855157"/>
    <w:rsid w:val="0086745E"/>
    <w:rsid w:val="00872346"/>
    <w:rsid w:val="00873977"/>
    <w:rsid w:val="008747F7"/>
    <w:rsid w:val="00875E78"/>
    <w:rsid w:val="00876590"/>
    <w:rsid w:val="00876CE2"/>
    <w:rsid w:val="00877C2F"/>
    <w:rsid w:val="008A0FFF"/>
    <w:rsid w:val="008A4245"/>
    <w:rsid w:val="008B26D1"/>
    <w:rsid w:val="008B5E4D"/>
    <w:rsid w:val="008C0368"/>
    <w:rsid w:val="008D2DF6"/>
    <w:rsid w:val="008D5245"/>
    <w:rsid w:val="008E0315"/>
    <w:rsid w:val="008E3CF5"/>
    <w:rsid w:val="008E3E05"/>
    <w:rsid w:val="008E66E4"/>
    <w:rsid w:val="00901ECF"/>
    <w:rsid w:val="00904421"/>
    <w:rsid w:val="009057DD"/>
    <w:rsid w:val="00912DF5"/>
    <w:rsid w:val="00915AE4"/>
    <w:rsid w:val="00916351"/>
    <w:rsid w:val="009206CA"/>
    <w:rsid w:val="00932A6C"/>
    <w:rsid w:val="00932B46"/>
    <w:rsid w:val="009407C4"/>
    <w:rsid w:val="00941E92"/>
    <w:rsid w:val="0095231F"/>
    <w:rsid w:val="0095716D"/>
    <w:rsid w:val="0096742F"/>
    <w:rsid w:val="00971713"/>
    <w:rsid w:val="00971CB2"/>
    <w:rsid w:val="009742EB"/>
    <w:rsid w:val="00975336"/>
    <w:rsid w:val="00981322"/>
    <w:rsid w:val="00985065"/>
    <w:rsid w:val="00986C28"/>
    <w:rsid w:val="00987085"/>
    <w:rsid w:val="00992C2E"/>
    <w:rsid w:val="009A3DA2"/>
    <w:rsid w:val="009A6607"/>
    <w:rsid w:val="009B45D5"/>
    <w:rsid w:val="009C0319"/>
    <w:rsid w:val="009D479B"/>
    <w:rsid w:val="009D6634"/>
    <w:rsid w:val="009E0FF5"/>
    <w:rsid w:val="009E2C19"/>
    <w:rsid w:val="009E34C7"/>
    <w:rsid w:val="009E34F7"/>
    <w:rsid w:val="00A26F14"/>
    <w:rsid w:val="00A271CA"/>
    <w:rsid w:val="00A36A20"/>
    <w:rsid w:val="00A36D0C"/>
    <w:rsid w:val="00A40A07"/>
    <w:rsid w:val="00A42028"/>
    <w:rsid w:val="00A467CF"/>
    <w:rsid w:val="00A469DC"/>
    <w:rsid w:val="00A55FC2"/>
    <w:rsid w:val="00A63B85"/>
    <w:rsid w:val="00A70EF6"/>
    <w:rsid w:val="00A80F37"/>
    <w:rsid w:val="00A94977"/>
    <w:rsid w:val="00A9547D"/>
    <w:rsid w:val="00A958D6"/>
    <w:rsid w:val="00AA1580"/>
    <w:rsid w:val="00AA62C0"/>
    <w:rsid w:val="00AB2287"/>
    <w:rsid w:val="00AB4C85"/>
    <w:rsid w:val="00AD2DB4"/>
    <w:rsid w:val="00AE43F8"/>
    <w:rsid w:val="00AE6874"/>
    <w:rsid w:val="00B01B14"/>
    <w:rsid w:val="00B01D84"/>
    <w:rsid w:val="00B021F3"/>
    <w:rsid w:val="00B03B86"/>
    <w:rsid w:val="00B107AB"/>
    <w:rsid w:val="00B127D7"/>
    <w:rsid w:val="00B13D78"/>
    <w:rsid w:val="00B140CD"/>
    <w:rsid w:val="00B20BEC"/>
    <w:rsid w:val="00B243C5"/>
    <w:rsid w:val="00B24B4D"/>
    <w:rsid w:val="00B34030"/>
    <w:rsid w:val="00B46A66"/>
    <w:rsid w:val="00B51E03"/>
    <w:rsid w:val="00B604ED"/>
    <w:rsid w:val="00B64040"/>
    <w:rsid w:val="00B6453A"/>
    <w:rsid w:val="00B70B4D"/>
    <w:rsid w:val="00B93228"/>
    <w:rsid w:val="00B95489"/>
    <w:rsid w:val="00BA6EC0"/>
    <w:rsid w:val="00BB4647"/>
    <w:rsid w:val="00BB4971"/>
    <w:rsid w:val="00BC4E29"/>
    <w:rsid w:val="00BD2397"/>
    <w:rsid w:val="00BF3DD5"/>
    <w:rsid w:val="00C005E6"/>
    <w:rsid w:val="00C2285A"/>
    <w:rsid w:val="00C2413A"/>
    <w:rsid w:val="00C2669E"/>
    <w:rsid w:val="00C27039"/>
    <w:rsid w:val="00C4628D"/>
    <w:rsid w:val="00C541D8"/>
    <w:rsid w:val="00C66B1C"/>
    <w:rsid w:val="00C76470"/>
    <w:rsid w:val="00C774F2"/>
    <w:rsid w:val="00C77F1C"/>
    <w:rsid w:val="00C808F3"/>
    <w:rsid w:val="00C8333C"/>
    <w:rsid w:val="00C84FF1"/>
    <w:rsid w:val="00C926B7"/>
    <w:rsid w:val="00C96D80"/>
    <w:rsid w:val="00CA40AD"/>
    <w:rsid w:val="00CA6E22"/>
    <w:rsid w:val="00CB76C3"/>
    <w:rsid w:val="00CE0F33"/>
    <w:rsid w:val="00CE650E"/>
    <w:rsid w:val="00CF238D"/>
    <w:rsid w:val="00CF566C"/>
    <w:rsid w:val="00D0039A"/>
    <w:rsid w:val="00D02A00"/>
    <w:rsid w:val="00D12D81"/>
    <w:rsid w:val="00D13E74"/>
    <w:rsid w:val="00D1430D"/>
    <w:rsid w:val="00D333EE"/>
    <w:rsid w:val="00D45F73"/>
    <w:rsid w:val="00D506AC"/>
    <w:rsid w:val="00D5783C"/>
    <w:rsid w:val="00D617CD"/>
    <w:rsid w:val="00D63A28"/>
    <w:rsid w:val="00D652AC"/>
    <w:rsid w:val="00D73BD2"/>
    <w:rsid w:val="00D80219"/>
    <w:rsid w:val="00D84A70"/>
    <w:rsid w:val="00D85382"/>
    <w:rsid w:val="00DA2015"/>
    <w:rsid w:val="00DC7CC9"/>
    <w:rsid w:val="00DD55A9"/>
    <w:rsid w:val="00DE2C0D"/>
    <w:rsid w:val="00DE5858"/>
    <w:rsid w:val="00DF0B80"/>
    <w:rsid w:val="00DF1A94"/>
    <w:rsid w:val="00DF42E4"/>
    <w:rsid w:val="00DF7ECE"/>
    <w:rsid w:val="00E024C8"/>
    <w:rsid w:val="00E0496F"/>
    <w:rsid w:val="00E11C3D"/>
    <w:rsid w:val="00E2046E"/>
    <w:rsid w:val="00E23CEE"/>
    <w:rsid w:val="00E24326"/>
    <w:rsid w:val="00E260AF"/>
    <w:rsid w:val="00E350D6"/>
    <w:rsid w:val="00E3780A"/>
    <w:rsid w:val="00E50AA9"/>
    <w:rsid w:val="00E539A9"/>
    <w:rsid w:val="00E539F8"/>
    <w:rsid w:val="00E5742A"/>
    <w:rsid w:val="00E63B53"/>
    <w:rsid w:val="00E67579"/>
    <w:rsid w:val="00E75915"/>
    <w:rsid w:val="00E77812"/>
    <w:rsid w:val="00E81884"/>
    <w:rsid w:val="00E84499"/>
    <w:rsid w:val="00E86920"/>
    <w:rsid w:val="00E900B1"/>
    <w:rsid w:val="00EA088E"/>
    <w:rsid w:val="00EB1807"/>
    <w:rsid w:val="00EB56DA"/>
    <w:rsid w:val="00EC48EF"/>
    <w:rsid w:val="00ED16D2"/>
    <w:rsid w:val="00EE0A82"/>
    <w:rsid w:val="00EE2EA6"/>
    <w:rsid w:val="00EF1247"/>
    <w:rsid w:val="00EF12D9"/>
    <w:rsid w:val="00EF1318"/>
    <w:rsid w:val="00EF64D5"/>
    <w:rsid w:val="00F01986"/>
    <w:rsid w:val="00F06731"/>
    <w:rsid w:val="00F15714"/>
    <w:rsid w:val="00F21842"/>
    <w:rsid w:val="00F2351F"/>
    <w:rsid w:val="00F239A1"/>
    <w:rsid w:val="00F253B2"/>
    <w:rsid w:val="00F279BB"/>
    <w:rsid w:val="00F344D2"/>
    <w:rsid w:val="00F37032"/>
    <w:rsid w:val="00F3712C"/>
    <w:rsid w:val="00F37AC8"/>
    <w:rsid w:val="00F54A3D"/>
    <w:rsid w:val="00F57B9F"/>
    <w:rsid w:val="00F63638"/>
    <w:rsid w:val="00F63DA2"/>
    <w:rsid w:val="00F759ED"/>
    <w:rsid w:val="00F812B3"/>
    <w:rsid w:val="00FA1567"/>
    <w:rsid w:val="00FA313A"/>
    <w:rsid w:val="00FA62BD"/>
    <w:rsid w:val="00FB6DAD"/>
    <w:rsid w:val="00FB7EE4"/>
    <w:rsid w:val="00FC3C71"/>
    <w:rsid w:val="00FD0E85"/>
    <w:rsid w:val="00FE1EDE"/>
    <w:rsid w:val="00FE3078"/>
    <w:rsid w:val="00FE3974"/>
    <w:rsid w:val="00FF32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0E1EF1"/>
    <w:rPr>
      <w:sz w:val="20"/>
      <w:szCs w:val="20"/>
    </w:rPr>
  </w:style>
  <w:style w:type="character" w:styleId="FootnoteReference">
    <w:name w:val="footnote reference"/>
    <w:basedOn w:val="DefaultParagraphFont"/>
    <w:semiHidden/>
    <w:rsid w:val="00FA62BD"/>
    <w:rPr>
      <w:vertAlign w:val="superscript"/>
    </w:rPr>
  </w:style>
  <w:style w:type="character" w:styleId="Hyperlink">
    <w:name w:val="Hyperlink"/>
    <w:basedOn w:val="DefaultParagraphFont"/>
    <w:rsid w:val="00916351"/>
    <w:rPr>
      <w:color w:val="0000FF"/>
      <w:u w:val="single"/>
    </w:rPr>
  </w:style>
  <w:style w:type="paragraph" w:styleId="BalloonText">
    <w:name w:val="Balloon Text"/>
    <w:basedOn w:val="Normal"/>
    <w:semiHidden/>
    <w:rsid w:val="00454DC1"/>
    <w:rPr>
      <w:rFonts w:ascii="Tahoma" w:hAnsi="Tahoma"/>
      <w:sz w:val="16"/>
      <w:szCs w:val="16"/>
    </w:rPr>
  </w:style>
  <w:style w:type="character" w:styleId="HTMLCite">
    <w:name w:val="HTML Cite"/>
    <w:basedOn w:val="DefaultParagraphFont"/>
    <w:rsid w:val="00A469DC"/>
    <w:rPr>
      <w:i/>
      <w:iCs/>
    </w:rPr>
  </w:style>
  <w:style w:type="character" w:customStyle="1" w:styleId="author">
    <w:name w:val="author"/>
    <w:basedOn w:val="DefaultParagraphFont"/>
    <w:rsid w:val="00614D08"/>
  </w:style>
  <w:style w:type="character" w:customStyle="1" w:styleId="article-name">
    <w:name w:val="article-name"/>
    <w:basedOn w:val="DefaultParagraphFont"/>
    <w:rsid w:val="00614D08"/>
  </w:style>
  <w:style w:type="character" w:styleId="Emphasis">
    <w:name w:val="Emphasis"/>
    <w:basedOn w:val="DefaultParagraphFont"/>
    <w:qFormat/>
    <w:rsid w:val="00614D08"/>
    <w:rPr>
      <w:i/>
      <w:iCs/>
    </w:rPr>
  </w:style>
  <w:style w:type="character" w:customStyle="1" w:styleId="uri">
    <w:name w:val="uri"/>
    <w:basedOn w:val="DefaultParagraphFont"/>
    <w:rsid w:val="00614D08"/>
  </w:style>
  <w:style w:type="character" w:customStyle="1" w:styleId="date">
    <w:name w:val="date"/>
    <w:basedOn w:val="DefaultParagraphFont"/>
    <w:rsid w:val="00614D08"/>
  </w:style>
  <w:style w:type="paragraph" w:styleId="Header">
    <w:name w:val="header"/>
    <w:basedOn w:val="Normal"/>
    <w:rsid w:val="003A6EF0"/>
    <w:pPr>
      <w:tabs>
        <w:tab w:val="center" w:pos="4320"/>
        <w:tab w:val="right" w:pos="8640"/>
      </w:tabs>
    </w:pPr>
  </w:style>
  <w:style w:type="character" w:styleId="PageNumber">
    <w:name w:val="page number"/>
    <w:basedOn w:val="DefaultParagraphFont"/>
    <w:rsid w:val="003A6EF0"/>
  </w:style>
  <w:style w:type="paragraph" w:styleId="Footer">
    <w:name w:val="footer"/>
    <w:basedOn w:val="Normal"/>
    <w:link w:val="FooterChar"/>
    <w:uiPriority w:val="99"/>
    <w:rsid w:val="003A6EF0"/>
    <w:pPr>
      <w:tabs>
        <w:tab w:val="center" w:pos="4320"/>
        <w:tab w:val="right" w:pos="8640"/>
      </w:tabs>
    </w:pPr>
  </w:style>
  <w:style w:type="character" w:customStyle="1" w:styleId="FooterChar">
    <w:name w:val="Footer Char"/>
    <w:basedOn w:val="DefaultParagraphFont"/>
    <w:link w:val="Footer"/>
    <w:uiPriority w:val="99"/>
    <w:rsid w:val="00E63B53"/>
    <w:rPr>
      <w:sz w:val="24"/>
      <w:szCs w:val="24"/>
    </w:rPr>
  </w:style>
</w:styles>
</file>

<file path=word/webSettings.xml><?xml version="1.0" encoding="utf-8"?>
<w:webSettings xmlns:r="http://schemas.openxmlformats.org/officeDocument/2006/relationships" xmlns:w="http://schemas.openxmlformats.org/wordprocessingml/2006/main">
  <w:divs>
    <w:div w:id="109814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305029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stor.org/stable/305029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jstor.org/stable/30502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07375F2-86E5-45A5-A40B-2E96FE2FA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2615</Words>
  <Characters>14481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17062</CharactersWithSpaces>
  <SharedDoc>false</SharedDoc>
  <HLinks>
    <vt:vector size="18" baseType="variant">
      <vt:variant>
        <vt:i4>2556024</vt:i4>
      </vt:variant>
      <vt:variant>
        <vt:i4>3</vt:i4>
      </vt:variant>
      <vt:variant>
        <vt:i4>0</vt:i4>
      </vt:variant>
      <vt:variant>
        <vt:i4>5</vt:i4>
      </vt:variant>
      <vt:variant>
        <vt:lpwstr>http://www.jstor.org/stable/3050299</vt:lpwstr>
      </vt:variant>
      <vt:variant>
        <vt:lpwstr/>
      </vt:variant>
      <vt:variant>
        <vt:i4>2556024</vt:i4>
      </vt:variant>
      <vt:variant>
        <vt:i4>0</vt:i4>
      </vt:variant>
      <vt:variant>
        <vt:i4>0</vt:i4>
      </vt:variant>
      <vt:variant>
        <vt:i4>5</vt:i4>
      </vt:variant>
      <vt:variant>
        <vt:lpwstr>http://www.jstor.org/stable/3050299</vt:lpwstr>
      </vt:variant>
      <vt:variant>
        <vt:lpwstr/>
      </vt:variant>
      <vt:variant>
        <vt:i4>2556024</vt:i4>
      </vt:variant>
      <vt:variant>
        <vt:i4>0</vt:i4>
      </vt:variant>
      <vt:variant>
        <vt:i4>0</vt:i4>
      </vt:variant>
      <vt:variant>
        <vt:i4>5</vt:i4>
      </vt:variant>
      <vt:variant>
        <vt:lpwstr>http://www.jstor.org/stable/3050299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Maureen O'Brien</dc:creator>
  <cp:keywords/>
  <cp:lastModifiedBy>Barnaby Nygren</cp:lastModifiedBy>
  <cp:revision>3</cp:revision>
  <cp:lastPrinted>2009-06-28T18:50:00Z</cp:lastPrinted>
  <dcterms:created xsi:type="dcterms:W3CDTF">2009-09-30T12:06:00Z</dcterms:created>
  <dcterms:modified xsi:type="dcterms:W3CDTF">2009-09-30T12:09:00Z</dcterms:modified>
</cp:coreProperties>
</file>